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B1C1E" w14:textId="4EADBA45"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Pr>
          <w:rFonts w:ascii="Arial" w:hAnsi="Arial" w:cs="Arial"/>
          <w:b/>
          <w:lang w:val="de-DE"/>
        </w:rPr>
        <w:tab/>
      </w:r>
      <w:r w:rsidRPr="00625E22">
        <w:rPr>
          <w:rFonts w:ascii="Arial" w:hAnsi="Arial" w:cs="Arial"/>
          <w:b/>
          <w:lang w:val="de-DE"/>
        </w:rPr>
        <w:t>R4-1</w:t>
      </w:r>
      <w:r w:rsidR="00121FAB">
        <w:rPr>
          <w:rFonts w:ascii="Arial" w:hAnsi="Arial" w:cs="Arial"/>
          <w:b/>
          <w:lang w:val="de-DE"/>
        </w:rPr>
        <w:t>9</w:t>
      </w:r>
      <w:r w:rsidR="003B1D9B">
        <w:rPr>
          <w:rFonts w:ascii="Arial" w:hAnsi="Arial" w:cs="Arial"/>
          <w:b/>
          <w:lang w:val="de-DE"/>
        </w:rPr>
        <w:t>01970</w:t>
      </w:r>
      <w:r>
        <w:rPr>
          <w:rFonts w:ascii="Arial" w:hAnsi="Arial" w:cs="Arial"/>
          <w:b/>
          <w:lang w:val="de-DE"/>
        </w:rPr>
        <w:br/>
      </w:r>
      <w:r w:rsidR="006D0B66">
        <w:rPr>
          <w:rFonts w:ascii="Arial" w:hAnsi="Arial" w:cs="Arial"/>
          <w:b/>
        </w:rPr>
        <w:t>Athens</w:t>
      </w:r>
      <w:r>
        <w:rPr>
          <w:rFonts w:ascii="Arial" w:hAnsi="Arial" w:cs="Arial"/>
          <w:b/>
        </w:rPr>
        <w:t xml:space="preserve">, </w:t>
      </w:r>
      <w:r w:rsidR="006D0B66">
        <w:rPr>
          <w:rFonts w:ascii="Arial" w:hAnsi="Arial" w:cs="Arial"/>
          <w:b/>
        </w:rPr>
        <w:t>Greece</w:t>
      </w:r>
      <w:r>
        <w:rPr>
          <w:rFonts w:ascii="Arial" w:hAnsi="Arial" w:cs="Arial"/>
          <w:b/>
        </w:rPr>
        <w:t xml:space="preserve">, </w:t>
      </w:r>
      <w:r w:rsidR="006D0B66">
        <w:rPr>
          <w:rFonts w:ascii="Arial" w:hAnsi="Arial" w:cs="Arial"/>
          <w:b/>
        </w:rPr>
        <w:t>February 25 – March 1, 2019</w:t>
      </w:r>
    </w:p>
    <w:p w14:paraId="741F8B6E" w14:textId="77777777" w:rsidR="00E064A5" w:rsidRDefault="00E064A5" w:rsidP="00E064A5">
      <w:pPr>
        <w:tabs>
          <w:tab w:val="left" w:pos="2160"/>
        </w:tabs>
        <w:rPr>
          <w:rFonts w:ascii="Arial" w:hAnsi="Arial" w:cs="Arial"/>
          <w:b/>
        </w:rPr>
      </w:pPr>
    </w:p>
    <w:p w14:paraId="6832741A" w14:textId="1641791A"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636092">
        <w:rPr>
          <w:rFonts w:ascii="Arial" w:hAnsi="Arial" w:cs="Arial"/>
          <w:b/>
        </w:rPr>
        <w:t>10</w:t>
      </w:r>
      <w:bookmarkStart w:id="0" w:name="_GoBack"/>
      <w:bookmarkEnd w:id="0"/>
      <w:r w:rsidR="00636092">
        <w:rPr>
          <w:rFonts w:ascii="Arial" w:hAnsi="Arial" w:cs="Arial"/>
          <w:b/>
        </w:rPr>
        <w:t>.1.2</w:t>
      </w:r>
    </w:p>
    <w:p w14:paraId="729CF50A" w14:textId="5E66B01E"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r>
      <w:r w:rsidR="00614C67">
        <w:rPr>
          <w:rFonts w:ascii="Arial" w:hAnsi="Arial" w:cs="Arial"/>
          <w:b/>
        </w:rPr>
        <w:t>Intel Corporation</w:t>
      </w:r>
    </w:p>
    <w:p w14:paraId="0A717A8B" w14:textId="23431D44"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614C67">
        <w:rPr>
          <w:rFonts w:ascii="Arial" w:hAnsi="Arial" w:cs="Arial"/>
          <w:b/>
        </w:rPr>
        <w:t>Polarization mismatch impact on power class requirements</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440B48DA" w14:textId="2181189D" w:rsidR="004876B5" w:rsidRPr="004876B5" w:rsidRDefault="004876B5" w:rsidP="004876B5">
      <w:pPr>
        <w:rPr>
          <w:sz w:val="20"/>
          <w:szCs w:val="20"/>
        </w:rPr>
      </w:pPr>
      <w:r w:rsidRPr="004876B5">
        <w:rPr>
          <w:sz w:val="20"/>
          <w:szCs w:val="20"/>
        </w:rPr>
        <w:t xml:space="preserve">The technical report for </w:t>
      </w:r>
      <w:r w:rsidR="00143BB2">
        <w:rPr>
          <w:sz w:val="20"/>
          <w:szCs w:val="20"/>
        </w:rPr>
        <w:t xml:space="preserve">the </w:t>
      </w:r>
      <w:r w:rsidRPr="004876B5">
        <w:rPr>
          <w:sz w:val="20"/>
          <w:szCs w:val="20"/>
        </w:rPr>
        <w:t xml:space="preserve">NR </w:t>
      </w:r>
      <w:r w:rsidR="0077504B">
        <w:rPr>
          <w:sz w:val="20"/>
          <w:szCs w:val="20"/>
        </w:rPr>
        <w:t>S</w:t>
      </w:r>
      <w:r w:rsidR="00143BB2">
        <w:rPr>
          <w:sz w:val="20"/>
          <w:szCs w:val="20"/>
        </w:rPr>
        <w:t>tudy of test methods</w:t>
      </w:r>
      <w:r w:rsidRPr="004876B5">
        <w:rPr>
          <w:sz w:val="20"/>
          <w:szCs w:val="20"/>
        </w:rPr>
        <w:t xml:space="preserve"> TR 38.810 </w:t>
      </w:r>
      <w:r w:rsidR="007E693A">
        <w:rPr>
          <w:sz w:val="20"/>
          <w:szCs w:val="20"/>
        </w:rPr>
        <w:t xml:space="preserve">[1] </w:t>
      </w:r>
      <w:r w:rsidRPr="004876B5">
        <w:rPr>
          <w:sz w:val="20"/>
          <w:szCs w:val="20"/>
        </w:rPr>
        <w:t xml:space="preserve">defines the measurement procedures for the </w:t>
      </w:r>
      <w:r w:rsidR="004F5C08" w:rsidRPr="004876B5">
        <w:rPr>
          <w:sz w:val="20"/>
          <w:szCs w:val="20"/>
        </w:rPr>
        <w:t xml:space="preserve">FR2 UE RF </w:t>
      </w:r>
      <w:r w:rsidRPr="004876B5">
        <w:rPr>
          <w:sz w:val="20"/>
          <w:szCs w:val="20"/>
        </w:rPr>
        <w:t xml:space="preserve">requirements. </w:t>
      </w:r>
      <w:r>
        <w:rPr>
          <w:sz w:val="20"/>
          <w:szCs w:val="20"/>
        </w:rPr>
        <w:t>During the RAN4 #89 meeting, several companies highlighted a potential issue i</w:t>
      </w:r>
      <w:r w:rsidR="00143BB2">
        <w:rPr>
          <w:sz w:val="20"/>
          <w:szCs w:val="20"/>
        </w:rPr>
        <w:t>n</w:t>
      </w:r>
      <w:r>
        <w:rPr>
          <w:sz w:val="20"/>
          <w:szCs w:val="20"/>
        </w:rPr>
        <w:t xml:space="preserve"> the current measurement procedures for power class requirements.</w:t>
      </w:r>
      <w:r w:rsidR="007D6DAB">
        <w:rPr>
          <w:sz w:val="20"/>
          <w:szCs w:val="20"/>
        </w:rPr>
        <w:t xml:space="preserve"> Depending on the specific UE architecture of the DUT (1TX vs 2TX), the procedure fails to capture</w:t>
      </w:r>
      <w:r w:rsidR="00143BB2">
        <w:rPr>
          <w:sz w:val="20"/>
          <w:szCs w:val="20"/>
        </w:rPr>
        <w:t xml:space="preserve"> the TX polarization gain and this value was included in the core requirements derivation [3</w:t>
      </w:r>
      <w:proofErr w:type="gramStart"/>
      <w:r w:rsidR="00143BB2">
        <w:rPr>
          <w:sz w:val="20"/>
          <w:szCs w:val="20"/>
        </w:rPr>
        <w:t>,4</w:t>
      </w:r>
      <w:proofErr w:type="gramEnd"/>
      <w:r w:rsidR="00143BB2">
        <w:rPr>
          <w:sz w:val="20"/>
          <w:szCs w:val="20"/>
        </w:rPr>
        <w:t xml:space="preserve">]. </w:t>
      </w:r>
      <w:r w:rsidR="008010B5">
        <w:rPr>
          <w:sz w:val="20"/>
          <w:szCs w:val="20"/>
        </w:rPr>
        <w:t xml:space="preserve">After discussing the issue, </w:t>
      </w:r>
      <w:r w:rsidR="00143BB2">
        <w:rPr>
          <w:sz w:val="20"/>
          <w:szCs w:val="20"/>
        </w:rPr>
        <w:t>it was agreed to further discuss potential solutions in the next RAN4 meeting. Some solutions included enabling two polarization transmissions from test equipment (TE) and considering the removal of polarization gain from core requirements</w:t>
      </w:r>
      <w:r w:rsidR="008010B5">
        <w:rPr>
          <w:sz w:val="20"/>
          <w:szCs w:val="20"/>
        </w:rPr>
        <w:t xml:space="preserve"> [</w:t>
      </w:r>
      <w:r w:rsidR="007E693A">
        <w:rPr>
          <w:sz w:val="20"/>
          <w:szCs w:val="20"/>
        </w:rPr>
        <w:t>2</w:t>
      </w:r>
      <w:r w:rsidR="008010B5">
        <w:rPr>
          <w:sz w:val="20"/>
          <w:szCs w:val="20"/>
        </w:rPr>
        <w:t>].</w:t>
      </w:r>
    </w:p>
    <w:p w14:paraId="019B2E0D" w14:textId="77777777" w:rsidR="004876B5" w:rsidRDefault="004876B5" w:rsidP="006B6A1A">
      <w:pPr>
        <w:rPr>
          <w:sz w:val="20"/>
          <w:szCs w:val="20"/>
        </w:rPr>
      </w:pPr>
    </w:p>
    <w:p w14:paraId="6D49AE6C" w14:textId="4393AF1A" w:rsidR="008010B5" w:rsidRDefault="008010B5" w:rsidP="006B6A1A">
      <w:pPr>
        <w:rPr>
          <w:sz w:val="20"/>
          <w:szCs w:val="20"/>
        </w:rPr>
      </w:pPr>
      <w:r>
        <w:rPr>
          <w:noProof/>
        </w:rPr>
        <mc:AlternateContent>
          <mc:Choice Requires="wps">
            <w:drawing>
              <wp:inline distT="0" distB="0" distL="0" distR="0" wp14:anchorId="13B15522" wp14:editId="6F82E3C2">
                <wp:extent cx="6120765" cy="973080"/>
                <wp:effectExtent l="0" t="0" r="10795" b="12700"/>
                <wp:docPr id="2" name="Text Box 2"/>
                <wp:cNvGraphicFramePr/>
                <a:graphic xmlns:a="http://schemas.openxmlformats.org/drawingml/2006/main">
                  <a:graphicData uri="http://schemas.microsoft.com/office/word/2010/wordprocessingShape">
                    <wps:wsp>
                      <wps:cNvSpPr txBox="1"/>
                      <wps:spPr>
                        <a:xfrm>
                          <a:off x="0" y="0"/>
                          <a:ext cx="6120765" cy="973080"/>
                        </a:xfrm>
                        <a:prstGeom prst="rect">
                          <a:avLst/>
                        </a:prstGeom>
                        <a:noFill/>
                        <a:ln w="3175">
                          <a:solidFill>
                            <a:prstClr val="black"/>
                          </a:solidFill>
                        </a:ln>
                      </wps:spPr>
                      <wps:txbx>
                        <w:txbxContent>
                          <w:p w14:paraId="58C7FC93" w14:textId="77777777" w:rsidR="00EB19CC" w:rsidRPr="008010B5" w:rsidRDefault="00EB19CC" w:rsidP="008010B5">
                            <w:pPr>
                              <w:rPr>
                                <w:rFonts w:eastAsia="Batang"/>
                                <w:bCs/>
                                <w:sz w:val="18"/>
                                <w:szCs w:val="18"/>
                              </w:rPr>
                            </w:pPr>
                            <w:r w:rsidRPr="008010B5">
                              <w:rPr>
                                <w:rFonts w:eastAsia="Batang"/>
                                <w:bCs/>
                                <w:sz w:val="18"/>
                                <w:szCs w:val="18"/>
                                <w:highlight w:val="green"/>
                              </w:rPr>
                              <w:t>Agreement:</w:t>
                            </w:r>
                            <w:r w:rsidRPr="008010B5">
                              <w:rPr>
                                <w:rFonts w:eastAsia="Batang"/>
                                <w:bCs/>
                                <w:sz w:val="18"/>
                                <w:szCs w:val="18"/>
                              </w:rPr>
                              <w:t xml:space="preserve"> </w:t>
                            </w:r>
                          </w:p>
                          <w:p w14:paraId="0B31855F" w14:textId="6DFE9A92" w:rsidR="00EB19CC" w:rsidRPr="008010B5" w:rsidRDefault="00EB19CC" w:rsidP="008010B5">
                            <w:pPr>
                              <w:rPr>
                                <w:rFonts w:eastAsia="Batang"/>
                                <w:bCs/>
                                <w:sz w:val="18"/>
                                <w:szCs w:val="18"/>
                              </w:rPr>
                            </w:pPr>
                            <w:r w:rsidRPr="008010B5">
                              <w:rPr>
                                <w:rFonts w:eastAsia="Batang"/>
                                <w:bCs/>
                                <w:sz w:val="18"/>
                                <w:szCs w:val="18"/>
                              </w:rPr>
                              <w:t>For the test procedure for T</w:t>
                            </w:r>
                            <w:r w:rsidR="00223221">
                              <w:rPr>
                                <w:rFonts w:eastAsia="Batang"/>
                                <w:bCs/>
                                <w:sz w:val="18"/>
                                <w:szCs w:val="18"/>
                              </w:rPr>
                              <w:t>X</w:t>
                            </w:r>
                            <w:r w:rsidRPr="008010B5">
                              <w:rPr>
                                <w:rFonts w:eastAsia="Batang"/>
                                <w:bCs/>
                                <w:sz w:val="18"/>
                                <w:szCs w:val="18"/>
                              </w:rPr>
                              <w:t xml:space="preserve"> peak beam search and EIRP spherical coverage, during the test at the each points in the measurement grid it is not precluded that DUT can transmit the power through two polarizations simultaneously</w:t>
                            </w:r>
                          </w:p>
                          <w:p w14:paraId="05D64B8E" w14:textId="77777777" w:rsidR="00EB19CC" w:rsidRPr="008010B5" w:rsidRDefault="00EB19CC" w:rsidP="008010B5">
                            <w:pPr>
                              <w:rPr>
                                <w:rFonts w:eastAsia="Batang"/>
                                <w:bCs/>
                                <w:sz w:val="18"/>
                                <w:szCs w:val="18"/>
                              </w:rPr>
                            </w:pPr>
                          </w:p>
                          <w:p w14:paraId="091D495A" w14:textId="77777777" w:rsidR="00EB19CC" w:rsidRPr="008010B5" w:rsidRDefault="00EB19CC" w:rsidP="008010B5">
                            <w:pPr>
                              <w:rPr>
                                <w:rFonts w:eastAsia="Batang"/>
                                <w:bCs/>
                                <w:sz w:val="18"/>
                                <w:szCs w:val="18"/>
                              </w:rPr>
                            </w:pPr>
                            <w:r w:rsidRPr="008010B5">
                              <w:rPr>
                                <w:rFonts w:eastAsia="Batang"/>
                                <w:bCs/>
                                <w:sz w:val="18"/>
                                <w:szCs w:val="18"/>
                              </w:rPr>
                              <w:t xml:space="preserve">We need to consider to enable two polarizations transmissions from TE. If it is not feasible, we need to consider whether polarization gain shall be considered as part of core requirements.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3B15522" id="_x0000_t202" coordsize="21600,21600" o:spt="202" path="m,l,21600r21600,l21600,xe">
                <v:stroke joinstyle="miter"/>
                <v:path gradientshapeok="t" o:connecttype="rect"/>
              </v:shapetype>
              <v:shape id="Text Box 2" o:spid="_x0000_s1026" type="#_x0000_t202" style="width:481.95pt;height:7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inpQQIAAHcEAAAOAAAAZHJzL2Uyb0RvYy54bWysVE1vGjEQvVfqf7B8LwskQIKyRDQRVSWU&#10;RIIqZ+P1hlW9Hss27NJf32cvEJT2VPXinS+PZ96b2bv7ttZsr5yvyOR80OtzpoykojJvOf+xXny5&#10;4cwHYQqhyaicH5Tn97PPn+4aO1VD2pIulGNIYvy0sTnfhmCnWeblVtXC98gqA2dJrhYBqnvLCica&#10;ZK91Nuz3x1lDrrCOpPIe1sfOyWcpf1kqGZ7L0qvAdM5RW0inS+cmntnsTkzfnLDbSh7LEP9QRS0q&#10;g0fPqR5FEGznqj9S1ZV05KkMPUl1RmVZSZV6QDeD/oduVlthVeoF4Hh7hsn/v7Tyaf/iWFXkfMiZ&#10;ETUoWqs2sK/UsmFEp7F+iqCVRVhoYQbLJ7uHMTbdlq6OX7TD4AfOhzO2MZmEcTwY9ifjEWcSvtvJ&#10;Vf8mgZ+937bOh2+KahaFnDtwlyAV+6UPqAShp5D4mKFFpXXiTxvW5PxqMBmlC550VURnDItXHrRj&#10;e4EJ2Gghf8bqkesiCpo2MMZeu56iFNpNewRgQ8UB/Tvq5sdbuaiQdyl8eBEOA4OWsQThGUepCcXQ&#10;UeJsS+7X3+wxHjzCy1mDAcy5wYZwpr8b8Hs7uL6O85qU69FkCMVdejaXHrOrHwj9DbBsViYxxgd9&#10;EktH9Ss2ZR7fhEsYiZdzHk7iQ+iWApsm1XyegjChVoSlWVkZU5/QXLevwtkjSwH8PtFpUMX0A1ld&#10;bLzp7XwXQFliMsLbYXpEHdOdSDluYlyfSz1Fvf8vZr8BAAD//wMAUEsDBBQABgAIAAAAIQDVkHML&#10;3QAAAAUBAAAPAAAAZHJzL2Rvd25yZXYueG1sTI9BS8QwEIXvgv8hjOBF3NQtrm5tuoggCEphu6LX&#10;aRPbssmkNOlu9dc7etHLg+E93vsm38zOioMZQ+9JwdUiAWGo8bqnVsHr7vHyFkSISBqtJ6Pg0wTY&#10;FKcnOWbaH2lrDlVsBZdQyFBBF+OQSRmazjgMCz8YYu/Djw4jn2Mr9YhHLndWLpNkJR32xAsdDuah&#10;M82+mpyCi9LuMa125dvL9F4nz0/jV7m9Uer8bL6/AxHNHP/C8IPP6FAwU+0n0kFYBfxI/FX21qt0&#10;DaLm0HW6BFnk8j998Q0AAP//AwBQSwECLQAUAAYACAAAACEAtoM4kv4AAADhAQAAEwAAAAAAAAAA&#10;AAAAAAAAAAAAW0NvbnRlbnRfVHlwZXNdLnhtbFBLAQItABQABgAIAAAAIQA4/SH/1gAAAJQBAAAL&#10;AAAAAAAAAAAAAAAAAC8BAABfcmVscy8ucmVsc1BLAQItABQABgAIAAAAIQBLNinpQQIAAHcEAAAO&#10;AAAAAAAAAAAAAAAAAC4CAABkcnMvZTJvRG9jLnhtbFBLAQItABQABgAIAAAAIQDVkHML3QAAAAUB&#10;AAAPAAAAAAAAAAAAAAAAAJsEAABkcnMvZG93bnJldi54bWxQSwUGAAAAAAQABADzAAAApQUAAAAA&#10;" filled="f" strokeweight=".25pt">
                <v:textbox style="mso-fit-shape-to-text:t">
                  <w:txbxContent>
                    <w:p w14:paraId="58C7FC93" w14:textId="77777777" w:rsidR="00EB19CC" w:rsidRPr="008010B5" w:rsidRDefault="00EB19CC" w:rsidP="008010B5">
                      <w:pPr>
                        <w:rPr>
                          <w:rFonts w:eastAsia="Batang"/>
                          <w:bCs/>
                          <w:sz w:val="18"/>
                          <w:szCs w:val="18"/>
                        </w:rPr>
                      </w:pPr>
                      <w:r w:rsidRPr="008010B5">
                        <w:rPr>
                          <w:rFonts w:eastAsia="Batang"/>
                          <w:bCs/>
                          <w:sz w:val="18"/>
                          <w:szCs w:val="18"/>
                          <w:highlight w:val="green"/>
                        </w:rPr>
                        <w:t>Agreement:</w:t>
                      </w:r>
                      <w:r w:rsidRPr="008010B5">
                        <w:rPr>
                          <w:rFonts w:eastAsia="Batang"/>
                          <w:bCs/>
                          <w:sz w:val="18"/>
                          <w:szCs w:val="18"/>
                        </w:rPr>
                        <w:t xml:space="preserve"> </w:t>
                      </w:r>
                    </w:p>
                    <w:p w14:paraId="0B31855F" w14:textId="6DFE9A92" w:rsidR="00EB19CC" w:rsidRPr="008010B5" w:rsidRDefault="00EB19CC" w:rsidP="008010B5">
                      <w:pPr>
                        <w:rPr>
                          <w:rFonts w:eastAsia="Batang"/>
                          <w:bCs/>
                          <w:sz w:val="18"/>
                          <w:szCs w:val="18"/>
                        </w:rPr>
                      </w:pPr>
                      <w:r w:rsidRPr="008010B5">
                        <w:rPr>
                          <w:rFonts w:eastAsia="Batang"/>
                          <w:bCs/>
                          <w:sz w:val="18"/>
                          <w:szCs w:val="18"/>
                        </w:rPr>
                        <w:t>For the test procedure for T</w:t>
                      </w:r>
                      <w:r w:rsidR="00223221">
                        <w:rPr>
                          <w:rFonts w:eastAsia="Batang"/>
                          <w:bCs/>
                          <w:sz w:val="18"/>
                          <w:szCs w:val="18"/>
                        </w:rPr>
                        <w:t>X</w:t>
                      </w:r>
                      <w:r w:rsidRPr="008010B5">
                        <w:rPr>
                          <w:rFonts w:eastAsia="Batang"/>
                          <w:bCs/>
                          <w:sz w:val="18"/>
                          <w:szCs w:val="18"/>
                        </w:rPr>
                        <w:t xml:space="preserve"> peak beam search and EIRP spherical coverage, during the test at the each points in the measurement grid it is not precluded that DUT can transmit the power through two polarizations simultaneously</w:t>
                      </w:r>
                    </w:p>
                    <w:p w14:paraId="05D64B8E" w14:textId="77777777" w:rsidR="00EB19CC" w:rsidRPr="008010B5" w:rsidRDefault="00EB19CC" w:rsidP="008010B5">
                      <w:pPr>
                        <w:rPr>
                          <w:rFonts w:eastAsia="Batang"/>
                          <w:bCs/>
                          <w:sz w:val="18"/>
                          <w:szCs w:val="18"/>
                        </w:rPr>
                      </w:pPr>
                    </w:p>
                    <w:p w14:paraId="091D495A" w14:textId="77777777" w:rsidR="00EB19CC" w:rsidRPr="008010B5" w:rsidRDefault="00EB19CC" w:rsidP="008010B5">
                      <w:pPr>
                        <w:rPr>
                          <w:rFonts w:eastAsia="Batang"/>
                          <w:bCs/>
                          <w:sz w:val="18"/>
                          <w:szCs w:val="18"/>
                        </w:rPr>
                      </w:pPr>
                      <w:r w:rsidRPr="008010B5">
                        <w:rPr>
                          <w:rFonts w:eastAsia="Batang"/>
                          <w:bCs/>
                          <w:sz w:val="18"/>
                          <w:szCs w:val="18"/>
                        </w:rPr>
                        <w:t xml:space="preserve">We need to consider to enable two polarizations transmissions from TE. If it is not feasible, we need to consider whether polarization gain shall be considered as part of core requirements. </w:t>
                      </w:r>
                    </w:p>
                  </w:txbxContent>
                </v:textbox>
                <w10:anchorlock/>
              </v:shape>
            </w:pict>
          </mc:Fallback>
        </mc:AlternateContent>
      </w:r>
    </w:p>
    <w:p w14:paraId="1DADBB03" w14:textId="3E41F8B0" w:rsidR="00546E72" w:rsidRDefault="00546E72" w:rsidP="006B6A1A"/>
    <w:p w14:paraId="2E466E6B" w14:textId="5F28D8D9" w:rsidR="00AD3A59" w:rsidRPr="00C96C95" w:rsidRDefault="008010B5" w:rsidP="006B6A1A">
      <w:pPr>
        <w:rPr>
          <w:sz w:val="20"/>
          <w:szCs w:val="20"/>
        </w:rPr>
      </w:pPr>
      <w:r w:rsidRPr="00C96C95">
        <w:rPr>
          <w:sz w:val="20"/>
          <w:szCs w:val="20"/>
        </w:rPr>
        <w:t xml:space="preserve">In this contribution, we provide our views on this issue and discuss </w:t>
      </w:r>
      <w:r w:rsidR="00C96C95" w:rsidRPr="00C96C95">
        <w:rPr>
          <w:sz w:val="20"/>
          <w:szCs w:val="20"/>
        </w:rPr>
        <w:t xml:space="preserve">the need to clarify </w:t>
      </w:r>
      <w:r w:rsidR="003362A6">
        <w:rPr>
          <w:sz w:val="20"/>
          <w:szCs w:val="20"/>
        </w:rPr>
        <w:t>precoder details (</w:t>
      </w:r>
      <w:r w:rsidR="003362A6">
        <w:rPr>
          <w:sz w:val="20"/>
          <w:szCs w:val="20"/>
        </w:rPr>
        <w:t>scheduled TPMI</w:t>
      </w:r>
      <w:r w:rsidR="003362A6">
        <w:rPr>
          <w:sz w:val="20"/>
          <w:szCs w:val="20"/>
        </w:rPr>
        <w:t xml:space="preserve">) used in </w:t>
      </w:r>
      <w:r w:rsidR="00C96C95" w:rsidRPr="00C96C95">
        <w:rPr>
          <w:sz w:val="20"/>
          <w:szCs w:val="20"/>
        </w:rPr>
        <w:t xml:space="preserve">the </w:t>
      </w:r>
      <w:r w:rsidR="003362A6">
        <w:rPr>
          <w:sz w:val="20"/>
          <w:szCs w:val="20"/>
        </w:rPr>
        <w:t>measurement procedure</w:t>
      </w:r>
      <w:r w:rsidR="00C96C95" w:rsidRPr="00C96C95">
        <w:rPr>
          <w:sz w:val="20"/>
          <w:szCs w:val="20"/>
        </w:rPr>
        <w:t>.</w:t>
      </w:r>
    </w:p>
    <w:p w14:paraId="442DEB4F" w14:textId="666F3A3B" w:rsidR="006B6A1A" w:rsidRDefault="006B6A1A" w:rsidP="006B6A1A">
      <w:pPr>
        <w:pStyle w:val="Heading1"/>
        <w:rPr>
          <w:lang w:val="en-US"/>
        </w:rPr>
      </w:pPr>
      <w:r w:rsidRPr="00871EA3">
        <w:rPr>
          <w:lang w:val="en-US"/>
        </w:rPr>
        <w:t>Discussion</w:t>
      </w:r>
    </w:p>
    <w:p w14:paraId="68CC62ED" w14:textId="5D195EE4" w:rsidR="00741C2E" w:rsidRDefault="00741C2E" w:rsidP="00741C2E">
      <w:pPr>
        <w:pStyle w:val="Heading2"/>
        <w:rPr>
          <w:rFonts w:eastAsia="SimSun"/>
        </w:rPr>
      </w:pPr>
      <w:r>
        <w:rPr>
          <w:rFonts w:eastAsia="SimSun"/>
        </w:rPr>
        <w:t>Polarization mismatch</w:t>
      </w:r>
    </w:p>
    <w:p w14:paraId="3673605D" w14:textId="4619C382" w:rsidR="009330B3" w:rsidRDefault="009330B3" w:rsidP="00B3014B">
      <w:pPr>
        <w:rPr>
          <w:rFonts w:eastAsia="SimSun"/>
          <w:sz w:val="20"/>
          <w:szCs w:val="20"/>
        </w:rPr>
      </w:pPr>
      <w:r>
        <w:rPr>
          <w:rFonts w:eastAsia="SimSun"/>
          <w:sz w:val="20"/>
          <w:szCs w:val="20"/>
        </w:rPr>
        <w:t xml:space="preserve">Assuming the UE will independently choose </w:t>
      </w:r>
      <w:r w:rsidR="003362A6">
        <w:rPr>
          <w:rFonts w:eastAsia="SimSun"/>
          <w:sz w:val="20"/>
          <w:szCs w:val="20"/>
        </w:rPr>
        <w:t>its</w:t>
      </w:r>
      <w:r>
        <w:rPr>
          <w:rFonts w:eastAsia="SimSun"/>
          <w:sz w:val="20"/>
          <w:szCs w:val="20"/>
        </w:rPr>
        <w:t xml:space="preserve"> transmit beam based on downlink measurements, </w:t>
      </w:r>
      <w:r w:rsidR="00A82680">
        <w:rPr>
          <w:rFonts w:eastAsia="SimSun"/>
          <w:sz w:val="20"/>
          <w:szCs w:val="20"/>
        </w:rPr>
        <w:t>i</w:t>
      </w:r>
      <w:r w:rsidR="003362A6">
        <w:rPr>
          <w:rFonts w:eastAsia="SimSun"/>
          <w:sz w:val="20"/>
          <w:szCs w:val="20"/>
        </w:rPr>
        <w:t xml:space="preserve">n the current procedure, </w:t>
      </w:r>
      <w:r>
        <w:rPr>
          <w:rFonts w:eastAsia="SimSun"/>
          <w:sz w:val="20"/>
          <w:szCs w:val="20"/>
        </w:rPr>
        <w:t xml:space="preserve">we expect </w:t>
      </w:r>
      <w:r w:rsidR="003362A6">
        <w:rPr>
          <w:rFonts w:eastAsia="SimSun"/>
          <w:sz w:val="20"/>
          <w:szCs w:val="20"/>
        </w:rPr>
        <w:t>that depending on the UE architecture used,</w:t>
      </w:r>
      <w:r>
        <w:rPr>
          <w:rFonts w:eastAsia="SimSun"/>
          <w:sz w:val="20"/>
          <w:szCs w:val="20"/>
        </w:rPr>
        <w:t xml:space="preserve"> measured EIRP </w:t>
      </w:r>
      <w:r w:rsidR="003362A6">
        <w:rPr>
          <w:rFonts w:eastAsia="SimSun"/>
          <w:sz w:val="20"/>
          <w:szCs w:val="20"/>
        </w:rPr>
        <w:t xml:space="preserve">will be impacted. </w:t>
      </w:r>
      <w:r w:rsidR="00A82680">
        <w:rPr>
          <w:rFonts w:eastAsia="SimSun"/>
          <w:sz w:val="20"/>
          <w:szCs w:val="20"/>
        </w:rPr>
        <w:t>For simplification purposes, i</w:t>
      </w:r>
      <w:r w:rsidR="003362A6">
        <w:rPr>
          <w:rFonts w:eastAsia="SimSun"/>
          <w:sz w:val="20"/>
          <w:szCs w:val="20"/>
        </w:rPr>
        <w:t xml:space="preserve">n the rest of the paper we will refer to a 1TX/2RX architecture as UE1, and 2TX/2RX architecture as UE2. </w:t>
      </w:r>
    </w:p>
    <w:p w14:paraId="68EDDD0B" w14:textId="067698A1" w:rsidR="003362A6" w:rsidRDefault="00A82680" w:rsidP="003362A6">
      <w:pPr>
        <w:rPr>
          <w:rFonts w:eastAsia="SimSun"/>
          <w:sz w:val="20"/>
          <w:szCs w:val="20"/>
        </w:rPr>
      </w:pPr>
      <w:r>
        <w:rPr>
          <w:rFonts w:eastAsia="SimSun"/>
          <w:sz w:val="20"/>
          <w:szCs w:val="20"/>
        </w:rPr>
        <w:t>The main reason for this impact on measured EIRP is because in the current procedure the TE transmits a single polarization at a time</w:t>
      </w:r>
      <w:r w:rsidR="00902893">
        <w:rPr>
          <w:rFonts w:eastAsia="SimSun"/>
          <w:sz w:val="20"/>
          <w:szCs w:val="20"/>
        </w:rPr>
        <w:t xml:space="preserve"> and</w:t>
      </w:r>
      <w:r w:rsidR="00902893" w:rsidRPr="00902893">
        <w:rPr>
          <w:rFonts w:eastAsia="SimSun"/>
          <w:sz w:val="20"/>
          <w:szCs w:val="20"/>
        </w:rPr>
        <w:t xml:space="preserve"> the DL signal is always sent sequentially, </w:t>
      </w:r>
      <w:r w:rsidR="00902893">
        <w:rPr>
          <w:rFonts w:eastAsia="SimSun"/>
          <w:sz w:val="20"/>
          <w:szCs w:val="20"/>
        </w:rPr>
        <w:t>which means</w:t>
      </w:r>
      <w:r w:rsidR="00902893" w:rsidRPr="00902893">
        <w:rPr>
          <w:rFonts w:eastAsia="SimSun"/>
          <w:sz w:val="20"/>
          <w:szCs w:val="20"/>
        </w:rPr>
        <w:t xml:space="preserve"> </w:t>
      </w:r>
      <w:r w:rsidR="00902893">
        <w:rPr>
          <w:rFonts w:eastAsia="SimSun"/>
          <w:sz w:val="20"/>
          <w:szCs w:val="20"/>
        </w:rPr>
        <w:t xml:space="preserve">we </w:t>
      </w:r>
      <w:r w:rsidR="00902893" w:rsidRPr="00902893">
        <w:rPr>
          <w:rFonts w:eastAsia="SimSun"/>
          <w:sz w:val="20"/>
          <w:szCs w:val="20"/>
        </w:rPr>
        <w:t xml:space="preserve">do not control to lock UE UL polarization in a predefined </w:t>
      </w:r>
      <w:r w:rsidR="00902893">
        <w:rPr>
          <w:rFonts w:eastAsia="SimSun"/>
          <w:sz w:val="20"/>
          <w:szCs w:val="20"/>
        </w:rPr>
        <w:t xml:space="preserve">direction. </w:t>
      </w:r>
      <w:r>
        <w:rPr>
          <w:rFonts w:eastAsia="SimSun"/>
          <w:sz w:val="20"/>
          <w:szCs w:val="20"/>
        </w:rPr>
        <w:t xml:space="preserve">For UE1, having one polarization means it has to determine the corresponding beam in that polarization. </w:t>
      </w:r>
    </w:p>
    <w:p w14:paraId="1075D055" w14:textId="77777777" w:rsidR="00A82680" w:rsidRDefault="00A82680" w:rsidP="003362A6">
      <w:pPr>
        <w:rPr>
          <w:rFonts w:eastAsia="SimSun"/>
          <w:sz w:val="20"/>
          <w:szCs w:val="20"/>
        </w:rPr>
      </w:pPr>
    </w:p>
    <w:p w14:paraId="64E60F82" w14:textId="03D37A62" w:rsidR="003362A6" w:rsidRPr="00C96C95" w:rsidRDefault="003362A6" w:rsidP="003362A6">
      <w:pPr>
        <w:rPr>
          <w:rFonts w:eastAsia="SimSun"/>
          <w:sz w:val="20"/>
          <w:szCs w:val="20"/>
        </w:rPr>
      </w:pPr>
      <w:r w:rsidRPr="00C96C95">
        <w:rPr>
          <w:rFonts w:eastAsia="SimSun"/>
          <w:b/>
          <w:sz w:val="20"/>
          <w:szCs w:val="20"/>
        </w:rPr>
        <w:t>Observation 1</w:t>
      </w:r>
      <w:r w:rsidRPr="00C96C95">
        <w:rPr>
          <w:rFonts w:eastAsia="SimSun"/>
          <w:sz w:val="20"/>
          <w:szCs w:val="20"/>
        </w:rPr>
        <w:t xml:space="preserve">: </w:t>
      </w:r>
      <w:r w:rsidR="00A82680">
        <w:rPr>
          <w:rFonts w:eastAsia="SimSun"/>
          <w:sz w:val="20"/>
          <w:szCs w:val="20"/>
        </w:rPr>
        <w:t xml:space="preserve">Given the current measurement procedure, a 1TX/2RX </w:t>
      </w:r>
      <w:r>
        <w:rPr>
          <w:rFonts w:eastAsia="SimSun"/>
          <w:sz w:val="20"/>
          <w:szCs w:val="20"/>
        </w:rPr>
        <w:t xml:space="preserve">architecture </w:t>
      </w:r>
      <w:r w:rsidR="00A82680">
        <w:rPr>
          <w:rFonts w:eastAsia="SimSun"/>
          <w:sz w:val="20"/>
          <w:szCs w:val="20"/>
        </w:rPr>
        <w:t>may not be able to</w:t>
      </w:r>
      <w:r>
        <w:rPr>
          <w:rFonts w:eastAsia="SimSun"/>
          <w:sz w:val="20"/>
          <w:szCs w:val="20"/>
        </w:rPr>
        <w:t xml:space="preserve"> </w:t>
      </w:r>
      <w:r w:rsidR="00A82680">
        <w:rPr>
          <w:rFonts w:eastAsia="SimSun"/>
          <w:sz w:val="20"/>
          <w:szCs w:val="20"/>
        </w:rPr>
        <w:t>correctly</w:t>
      </w:r>
      <w:r>
        <w:rPr>
          <w:rFonts w:eastAsia="SimSun"/>
          <w:sz w:val="20"/>
          <w:szCs w:val="20"/>
        </w:rPr>
        <w:t xml:space="preserve"> determine the corresponding TX beam in a given polarization.</w:t>
      </w:r>
    </w:p>
    <w:p w14:paraId="057E947D" w14:textId="77777777" w:rsidR="00A82680" w:rsidRDefault="00A82680" w:rsidP="00A82680">
      <w:pPr>
        <w:rPr>
          <w:rFonts w:eastAsia="SimSun"/>
          <w:b/>
          <w:sz w:val="20"/>
          <w:szCs w:val="20"/>
        </w:rPr>
      </w:pPr>
    </w:p>
    <w:p w14:paraId="67417009" w14:textId="79B0DB15" w:rsidR="00A82680" w:rsidRDefault="00A82680" w:rsidP="00A82680">
      <w:pPr>
        <w:rPr>
          <w:rFonts w:eastAsia="SimSun"/>
          <w:sz w:val="20"/>
          <w:szCs w:val="20"/>
        </w:rPr>
      </w:pPr>
      <w:r>
        <w:rPr>
          <w:rFonts w:eastAsia="SimSun"/>
          <w:sz w:val="20"/>
          <w:szCs w:val="20"/>
        </w:rPr>
        <w:t>Enabling two polarization transmissions from TE side was discussed as a potential solution</w:t>
      </w:r>
      <w:r w:rsidR="001921C4">
        <w:rPr>
          <w:rFonts w:eastAsia="SimSun"/>
          <w:sz w:val="20"/>
          <w:szCs w:val="20"/>
        </w:rPr>
        <w:t xml:space="preserve"> during the last meeting [2</w:t>
      </w:r>
      <w:r>
        <w:rPr>
          <w:rFonts w:eastAsia="SimSun"/>
          <w:sz w:val="20"/>
          <w:szCs w:val="20"/>
        </w:rPr>
        <w:t>]</w:t>
      </w:r>
      <w:r w:rsidR="00C16A11">
        <w:rPr>
          <w:rFonts w:eastAsia="SimSun"/>
          <w:sz w:val="20"/>
          <w:szCs w:val="20"/>
        </w:rPr>
        <w:t>, and would certainly solve the issue</w:t>
      </w:r>
      <w:r>
        <w:rPr>
          <w:rFonts w:eastAsia="SimSun"/>
          <w:sz w:val="20"/>
          <w:szCs w:val="20"/>
        </w:rPr>
        <w:t>. Considering this impacts their potential solution, we believe TE vendors should advice on the feasibility of this approach.</w:t>
      </w:r>
    </w:p>
    <w:p w14:paraId="47DC3DF3" w14:textId="77777777" w:rsidR="00A82680" w:rsidRDefault="00A82680" w:rsidP="00A82680">
      <w:pPr>
        <w:rPr>
          <w:rFonts w:eastAsia="SimSun"/>
          <w:b/>
          <w:sz w:val="20"/>
          <w:szCs w:val="20"/>
        </w:rPr>
      </w:pPr>
    </w:p>
    <w:p w14:paraId="44E64595" w14:textId="4610CE7F" w:rsidR="00A82680" w:rsidRDefault="00A82680" w:rsidP="00A82680">
      <w:pPr>
        <w:rPr>
          <w:rFonts w:eastAsia="SimSun"/>
          <w:sz w:val="20"/>
          <w:szCs w:val="20"/>
        </w:rPr>
      </w:pPr>
      <w:r w:rsidRPr="00C96C95">
        <w:rPr>
          <w:rFonts w:eastAsia="SimSun"/>
          <w:b/>
          <w:sz w:val="20"/>
          <w:szCs w:val="20"/>
        </w:rPr>
        <w:t xml:space="preserve">Observation </w:t>
      </w:r>
      <w:r>
        <w:rPr>
          <w:rFonts w:eastAsia="SimSun"/>
          <w:b/>
          <w:sz w:val="20"/>
          <w:szCs w:val="20"/>
        </w:rPr>
        <w:t>2</w:t>
      </w:r>
      <w:r w:rsidRPr="00C96C95">
        <w:rPr>
          <w:rFonts w:eastAsia="SimSun"/>
          <w:sz w:val="20"/>
          <w:szCs w:val="20"/>
        </w:rPr>
        <w:t xml:space="preserve">: </w:t>
      </w:r>
      <w:r>
        <w:rPr>
          <w:rFonts w:eastAsia="SimSun"/>
          <w:sz w:val="20"/>
          <w:szCs w:val="20"/>
        </w:rPr>
        <w:t>TE vendors should advice on feasibility of enabling two polarizations simultaneously.</w:t>
      </w:r>
    </w:p>
    <w:p w14:paraId="500E0518" w14:textId="77777777" w:rsidR="00A82680" w:rsidRDefault="00A82680" w:rsidP="00A82680">
      <w:pPr>
        <w:rPr>
          <w:rFonts w:eastAsia="SimSun"/>
          <w:b/>
          <w:sz w:val="20"/>
          <w:szCs w:val="20"/>
        </w:rPr>
      </w:pPr>
    </w:p>
    <w:p w14:paraId="42B6857B" w14:textId="18018F55" w:rsidR="00A82680" w:rsidRPr="00143BB2" w:rsidRDefault="00A82680" w:rsidP="00A82680">
      <w:pPr>
        <w:rPr>
          <w:rFonts w:eastAsia="SimSun"/>
          <w:sz w:val="20"/>
          <w:szCs w:val="20"/>
        </w:rPr>
      </w:pPr>
      <w:r w:rsidRPr="00143BB2">
        <w:rPr>
          <w:rFonts w:eastAsia="SimSun"/>
          <w:sz w:val="20"/>
          <w:szCs w:val="20"/>
        </w:rPr>
        <w:t xml:space="preserve">Alternatively, the measurement procedure can </w:t>
      </w:r>
      <w:r w:rsidR="001921C4" w:rsidRPr="00143BB2">
        <w:rPr>
          <w:rFonts w:eastAsia="SimSun"/>
          <w:sz w:val="20"/>
          <w:szCs w:val="20"/>
        </w:rPr>
        <w:t xml:space="preserve">be modified for UE1. For this modification, the TE needs to have the ability to control the downlink power in order to force the UE on the desired polarization and then lock the beam for EIRP measurements on both polarizations. If this approach is taken, it </w:t>
      </w:r>
      <w:r w:rsidRPr="00143BB2">
        <w:rPr>
          <w:rFonts w:eastAsia="SimSun"/>
          <w:sz w:val="20"/>
          <w:szCs w:val="20"/>
        </w:rPr>
        <w:t>will require a declaration from the manufacturer on its UE architecture for conformance testing.</w:t>
      </w:r>
    </w:p>
    <w:p w14:paraId="74E78CFD" w14:textId="77777777" w:rsidR="00C16A11" w:rsidRDefault="00C16A11" w:rsidP="00A82680">
      <w:pPr>
        <w:rPr>
          <w:rFonts w:eastAsia="SimSun"/>
          <w:sz w:val="20"/>
          <w:szCs w:val="20"/>
        </w:rPr>
      </w:pPr>
    </w:p>
    <w:p w14:paraId="5D2A70DC" w14:textId="4E5AE4A8" w:rsidR="00A82680" w:rsidRPr="00C96C95" w:rsidRDefault="00A82680" w:rsidP="00A82680">
      <w:pPr>
        <w:rPr>
          <w:rFonts w:eastAsia="SimSun"/>
          <w:sz w:val="20"/>
          <w:szCs w:val="20"/>
        </w:rPr>
      </w:pPr>
      <w:r w:rsidRPr="00C96C95">
        <w:rPr>
          <w:rFonts w:eastAsia="SimSun"/>
          <w:b/>
          <w:sz w:val="20"/>
          <w:szCs w:val="20"/>
        </w:rPr>
        <w:t xml:space="preserve">Observation </w:t>
      </w:r>
      <w:r>
        <w:rPr>
          <w:rFonts w:eastAsia="SimSun"/>
          <w:b/>
          <w:sz w:val="20"/>
          <w:szCs w:val="20"/>
        </w:rPr>
        <w:t>3</w:t>
      </w:r>
      <w:r w:rsidRPr="00C96C95">
        <w:rPr>
          <w:rFonts w:eastAsia="SimSun"/>
          <w:sz w:val="20"/>
          <w:szCs w:val="20"/>
        </w:rPr>
        <w:t xml:space="preserve">: </w:t>
      </w:r>
      <w:r>
        <w:rPr>
          <w:rFonts w:eastAsia="SimSun"/>
          <w:sz w:val="20"/>
          <w:szCs w:val="20"/>
        </w:rPr>
        <w:t>To guarantee UEs are measured correctly, manufacturers should include a declaration on their UE architecture. This will ensure the conformance test follows the correct measurement procedure.</w:t>
      </w:r>
    </w:p>
    <w:p w14:paraId="54A2D2D2" w14:textId="2DBFBFF2" w:rsidR="00A82680" w:rsidRPr="00C96C95" w:rsidRDefault="00A82680" w:rsidP="00A82680">
      <w:pPr>
        <w:rPr>
          <w:rFonts w:eastAsia="SimSun"/>
          <w:sz w:val="20"/>
          <w:szCs w:val="20"/>
        </w:rPr>
      </w:pPr>
      <w:r>
        <w:rPr>
          <w:rFonts w:eastAsia="SimSun"/>
          <w:b/>
          <w:sz w:val="20"/>
          <w:szCs w:val="20"/>
        </w:rPr>
        <w:lastRenderedPageBreak/>
        <w:t>Proposal</w:t>
      </w:r>
      <w:r w:rsidRPr="00C96C95">
        <w:rPr>
          <w:rFonts w:eastAsia="SimSun"/>
          <w:b/>
          <w:sz w:val="20"/>
          <w:szCs w:val="20"/>
        </w:rPr>
        <w:t xml:space="preserve"> 1</w:t>
      </w:r>
      <w:r w:rsidRPr="00C96C95">
        <w:rPr>
          <w:rFonts w:eastAsia="SimSun"/>
          <w:sz w:val="20"/>
          <w:szCs w:val="20"/>
        </w:rPr>
        <w:t xml:space="preserve">: </w:t>
      </w:r>
      <w:r w:rsidR="00143BB2">
        <w:rPr>
          <w:rFonts w:eastAsia="SimSun"/>
          <w:sz w:val="20"/>
          <w:szCs w:val="20"/>
        </w:rPr>
        <w:t>As potential solution, have two separate procedures based on UE architecture. Manufacturers will provide a declaration of their UE architecture to choose the correct procedure for conformance testing</w:t>
      </w:r>
      <w:r>
        <w:rPr>
          <w:rFonts w:eastAsia="SimSun"/>
          <w:sz w:val="20"/>
          <w:szCs w:val="20"/>
        </w:rPr>
        <w:t>.</w:t>
      </w:r>
    </w:p>
    <w:p w14:paraId="200DC726" w14:textId="77777777" w:rsidR="00594B16" w:rsidRDefault="00594B16" w:rsidP="00D70B15">
      <w:pPr>
        <w:rPr>
          <w:rFonts w:eastAsia="SimSun"/>
          <w:sz w:val="20"/>
          <w:szCs w:val="20"/>
        </w:rPr>
      </w:pPr>
    </w:p>
    <w:p w14:paraId="2E5B403C" w14:textId="5B57CC41" w:rsidR="00D70B15" w:rsidRPr="00741C2E" w:rsidRDefault="00E60F13" w:rsidP="00D70B15">
      <w:pPr>
        <w:rPr>
          <w:rFonts w:eastAsia="SimSun"/>
          <w:sz w:val="20"/>
          <w:szCs w:val="20"/>
        </w:rPr>
      </w:pPr>
      <w:r w:rsidRPr="00741C2E">
        <w:rPr>
          <w:rFonts w:eastAsia="SimSun"/>
          <w:sz w:val="20"/>
          <w:szCs w:val="20"/>
        </w:rPr>
        <w:t xml:space="preserve">If both of the previously discussed potential solutions fail, we would be left with having to remove the polarization gain </w:t>
      </w:r>
      <w:r w:rsidR="00741C2E">
        <w:rPr>
          <w:rFonts w:eastAsia="SimSun"/>
          <w:sz w:val="20"/>
          <w:szCs w:val="20"/>
        </w:rPr>
        <w:t xml:space="preserve">from the core requirements. </w:t>
      </w:r>
      <w:r w:rsidRPr="00741C2E">
        <w:rPr>
          <w:rFonts w:eastAsia="SimSun"/>
          <w:sz w:val="20"/>
          <w:szCs w:val="20"/>
        </w:rPr>
        <w:t xml:space="preserve">As </w:t>
      </w:r>
      <w:r w:rsidR="00741C2E" w:rsidRPr="00741C2E">
        <w:rPr>
          <w:rFonts w:eastAsia="SimSun"/>
          <w:sz w:val="20"/>
          <w:szCs w:val="20"/>
        </w:rPr>
        <w:t xml:space="preserve">removing </w:t>
      </w:r>
      <w:r w:rsidR="00741C2E">
        <w:rPr>
          <w:rFonts w:eastAsia="SimSun"/>
          <w:sz w:val="20"/>
          <w:szCs w:val="20"/>
        </w:rPr>
        <w:t xml:space="preserve">the </w:t>
      </w:r>
      <w:r w:rsidR="00741C2E" w:rsidRPr="00741C2E">
        <w:rPr>
          <w:rFonts w:eastAsia="SimSun"/>
          <w:sz w:val="20"/>
          <w:szCs w:val="20"/>
        </w:rPr>
        <w:t xml:space="preserve">polarization gain </w:t>
      </w:r>
      <w:r w:rsidRPr="00741C2E">
        <w:rPr>
          <w:rFonts w:eastAsia="SimSun"/>
          <w:sz w:val="20"/>
          <w:szCs w:val="20"/>
        </w:rPr>
        <w:t>implies reducing the minimum peak EIRP and spherical coverage requirements, we should try to avoid it</w:t>
      </w:r>
      <w:r w:rsidR="00741C2E" w:rsidRPr="00741C2E">
        <w:rPr>
          <w:rFonts w:eastAsia="SimSun"/>
          <w:sz w:val="20"/>
          <w:szCs w:val="20"/>
        </w:rPr>
        <w:t xml:space="preserve"> if possible</w:t>
      </w:r>
      <w:r w:rsidRPr="00741C2E">
        <w:rPr>
          <w:rFonts w:eastAsia="SimSun"/>
          <w:sz w:val="20"/>
          <w:szCs w:val="20"/>
        </w:rPr>
        <w:t>.</w:t>
      </w:r>
    </w:p>
    <w:p w14:paraId="4D68CE33" w14:textId="77777777" w:rsidR="00E60F13" w:rsidRPr="00741C2E" w:rsidRDefault="00E60F13" w:rsidP="00D70B15">
      <w:pPr>
        <w:rPr>
          <w:rFonts w:eastAsia="SimSun"/>
          <w:sz w:val="20"/>
          <w:szCs w:val="20"/>
        </w:rPr>
      </w:pPr>
    </w:p>
    <w:p w14:paraId="2301C681" w14:textId="5B678E3F" w:rsidR="00594B16" w:rsidRPr="00741C2E" w:rsidRDefault="00D70B15" w:rsidP="00D70B15">
      <w:pPr>
        <w:rPr>
          <w:rFonts w:eastAsia="SimSun"/>
          <w:sz w:val="20"/>
          <w:szCs w:val="20"/>
        </w:rPr>
      </w:pPr>
      <w:r w:rsidRPr="00741C2E">
        <w:rPr>
          <w:rFonts w:eastAsia="SimSun"/>
          <w:b/>
          <w:sz w:val="20"/>
          <w:szCs w:val="20"/>
        </w:rPr>
        <w:t xml:space="preserve">Proposal </w:t>
      </w:r>
      <w:r w:rsidR="00741C2E" w:rsidRPr="00741C2E">
        <w:rPr>
          <w:rFonts w:eastAsia="SimSun"/>
          <w:b/>
          <w:sz w:val="20"/>
          <w:szCs w:val="20"/>
        </w:rPr>
        <w:t>2</w:t>
      </w:r>
      <w:r w:rsidRPr="00741C2E">
        <w:rPr>
          <w:rFonts w:eastAsia="SimSun"/>
          <w:sz w:val="20"/>
          <w:szCs w:val="20"/>
        </w:rPr>
        <w:t xml:space="preserve">: </w:t>
      </w:r>
      <w:r w:rsidR="00741C2E" w:rsidRPr="00741C2E">
        <w:rPr>
          <w:rFonts w:eastAsia="SimSun"/>
          <w:sz w:val="20"/>
          <w:szCs w:val="20"/>
        </w:rPr>
        <w:t xml:space="preserve">If no other solution is found, we should </w:t>
      </w:r>
      <w:r w:rsidR="00C02858">
        <w:rPr>
          <w:rFonts w:eastAsia="SimSun"/>
          <w:sz w:val="20"/>
          <w:szCs w:val="20"/>
        </w:rPr>
        <w:t xml:space="preserve">consider </w:t>
      </w:r>
      <w:r w:rsidR="00741C2E" w:rsidRPr="00741C2E">
        <w:rPr>
          <w:rFonts w:eastAsia="SimSun"/>
          <w:sz w:val="20"/>
          <w:szCs w:val="20"/>
        </w:rPr>
        <w:t>remov</w:t>
      </w:r>
      <w:r w:rsidR="00C02858">
        <w:rPr>
          <w:rFonts w:eastAsia="SimSun"/>
          <w:sz w:val="20"/>
          <w:szCs w:val="20"/>
        </w:rPr>
        <w:t>ing</w:t>
      </w:r>
      <w:r w:rsidR="00741C2E" w:rsidRPr="00741C2E">
        <w:rPr>
          <w:rFonts w:eastAsia="SimSun"/>
          <w:sz w:val="20"/>
          <w:szCs w:val="20"/>
        </w:rPr>
        <w:t xml:space="preserve"> the polarization gain from </w:t>
      </w:r>
      <w:r w:rsidRPr="00741C2E">
        <w:rPr>
          <w:rFonts w:eastAsia="SimSun"/>
          <w:sz w:val="20"/>
          <w:szCs w:val="20"/>
        </w:rPr>
        <w:t>the minimum peak EIRP and spherical coverage requirements.</w:t>
      </w:r>
    </w:p>
    <w:p w14:paraId="0C6170A7" w14:textId="224743D3" w:rsidR="003B089C" w:rsidRPr="00594B16" w:rsidRDefault="00594B16" w:rsidP="003B089C">
      <w:pPr>
        <w:pStyle w:val="Heading2"/>
        <w:rPr>
          <w:rFonts w:eastAsia="SimSun"/>
        </w:rPr>
      </w:pPr>
      <w:r>
        <w:rPr>
          <w:rFonts w:eastAsia="SimSun"/>
        </w:rPr>
        <w:t>TPMI specification</w:t>
      </w:r>
    </w:p>
    <w:p w14:paraId="0AE0E076" w14:textId="4190F569" w:rsidR="00695BBD" w:rsidRDefault="00695BBD" w:rsidP="003B089C">
      <w:pPr>
        <w:rPr>
          <w:sz w:val="20"/>
          <w:szCs w:val="20"/>
          <w:lang w:val="en-GB"/>
        </w:rPr>
      </w:pPr>
      <w:r>
        <w:rPr>
          <w:sz w:val="20"/>
          <w:szCs w:val="20"/>
          <w:lang w:val="en-GB"/>
        </w:rPr>
        <w:t xml:space="preserve">For alignment purposes, we should address the </w:t>
      </w:r>
      <w:r w:rsidR="007E693A">
        <w:rPr>
          <w:sz w:val="20"/>
          <w:szCs w:val="20"/>
          <w:lang w:val="en-GB"/>
        </w:rPr>
        <w:t>precoder</w:t>
      </w:r>
      <w:r>
        <w:rPr>
          <w:sz w:val="20"/>
          <w:szCs w:val="20"/>
          <w:lang w:val="en-GB"/>
        </w:rPr>
        <w:t xml:space="preserve"> used in </w:t>
      </w:r>
      <w:r w:rsidR="00D70B15">
        <w:rPr>
          <w:sz w:val="20"/>
          <w:szCs w:val="20"/>
          <w:lang w:val="en-GB"/>
        </w:rPr>
        <w:t xml:space="preserve">the </w:t>
      </w:r>
      <w:r>
        <w:rPr>
          <w:sz w:val="20"/>
          <w:szCs w:val="20"/>
          <w:lang w:val="en-GB"/>
        </w:rPr>
        <w:t>measurement procedure</w:t>
      </w:r>
      <w:r w:rsidR="00E6107E">
        <w:rPr>
          <w:sz w:val="20"/>
          <w:szCs w:val="20"/>
          <w:lang w:val="en-GB"/>
        </w:rPr>
        <w:t xml:space="preserve"> for UE2</w:t>
      </w:r>
      <w:r w:rsidR="007E693A">
        <w:rPr>
          <w:sz w:val="20"/>
          <w:szCs w:val="20"/>
          <w:lang w:val="en-GB"/>
        </w:rPr>
        <w:t xml:space="preserve">. </w:t>
      </w:r>
      <w:r w:rsidR="00D70B15">
        <w:rPr>
          <w:sz w:val="20"/>
          <w:szCs w:val="20"/>
          <w:lang w:val="en-GB"/>
        </w:rPr>
        <w:t>The rank1 precoders for</w:t>
      </w:r>
      <w:r>
        <w:rPr>
          <w:sz w:val="20"/>
          <w:szCs w:val="20"/>
          <w:lang w:val="en-GB"/>
        </w:rPr>
        <w:t xml:space="preserve"> NR FR2 support both single and dual polarization transmissions. Depending on the scheduled TPMI, the </w:t>
      </w:r>
      <w:r w:rsidR="00D70B15">
        <w:rPr>
          <w:sz w:val="20"/>
          <w:szCs w:val="20"/>
          <w:lang w:val="en-GB"/>
        </w:rPr>
        <w:t>DUT</w:t>
      </w:r>
      <w:r>
        <w:rPr>
          <w:sz w:val="20"/>
          <w:szCs w:val="20"/>
          <w:lang w:val="en-GB"/>
        </w:rPr>
        <w:t xml:space="preserve"> will transmit either: V-polarization only (</w:t>
      </w:r>
      <w:r w:rsidR="00E6107E">
        <w:rPr>
          <w:sz w:val="20"/>
          <w:szCs w:val="20"/>
          <w:lang w:val="en-GB"/>
        </w:rPr>
        <w:t>T</w:t>
      </w:r>
      <w:r>
        <w:rPr>
          <w:sz w:val="20"/>
          <w:szCs w:val="20"/>
          <w:lang w:val="en-GB"/>
        </w:rPr>
        <w:t>PMI 0), H-polarization only (</w:t>
      </w:r>
      <w:r w:rsidR="00E6107E">
        <w:rPr>
          <w:sz w:val="20"/>
          <w:szCs w:val="20"/>
          <w:lang w:val="en-GB"/>
        </w:rPr>
        <w:t>T</w:t>
      </w:r>
      <w:r>
        <w:rPr>
          <w:sz w:val="20"/>
          <w:szCs w:val="20"/>
          <w:lang w:val="en-GB"/>
        </w:rPr>
        <w:t>PMI 1), or both V+H polarizations (</w:t>
      </w:r>
      <w:r w:rsidR="00E6107E">
        <w:rPr>
          <w:sz w:val="20"/>
          <w:szCs w:val="20"/>
          <w:lang w:val="en-GB"/>
        </w:rPr>
        <w:t>other T</w:t>
      </w:r>
      <w:r>
        <w:rPr>
          <w:sz w:val="20"/>
          <w:szCs w:val="20"/>
          <w:lang w:val="en-GB"/>
        </w:rPr>
        <w:t>PMI</w:t>
      </w:r>
      <w:r w:rsidR="00E6107E">
        <w:rPr>
          <w:sz w:val="20"/>
          <w:szCs w:val="20"/>
          <w:lang w:val="en-GB"/>
        </w:rPr>
        <w:t>s</w:t>
      </w:r>
      <w:r>
        <w:rPr>
          <w:sz w:val="20"/>
          <w:szCs w:val="20"/>
          <w:lang w:val="en-GB"/>
        </w:rPr>
        <w:t xml:space="preserve">). </w:t>
      </w:r>
    </w:p>
    <w:p w14:paraId="27ED1827" w14:textId="77777777" w:rsidR="00695BBD" w:rsidRDefault="00695BBD" w:rsidP="003B089C">
      <w:pPr>
        <w:rPr>
          <w:sz w:val="20"/>
          <w:szCs w:val="20"/>
          <w:lang w:val="en-GB"/>
        </w:rPr>
      </w:pPr>
    </w:p>
    <w:p w14:paraId="7847C00C" w14:textId="7C478005" w:rsidR="00695BBD" w:rsidRDefault="00695BBD" w:rsidP="003B089C">
      <w:pPr>
        <w:rPr>
          <w:sz w:val="20"/>
          <w:szCs w:val="20"/>
          <w:lang w:val="en-GB"/>
        </w:rPr>
      </w:pPr>
      <w:r>
        <w:rPr>
          <w:sz w:val="20"/>
          <w:szCs w:val="20"/>
          <w:lang w:val="en-GB"/>
        </w:rPr>
        <w:t>We can analyse different scenarios for the polarization alignment between the DUT and TE, while scheduling different TPMIs. A quick assessment of the results leads to conclusion that the total EIRP will be the same. However, this presupposes enough power will reach each RX branch so that it may correctly determine the required beam.</w:t>
      </w:r>
      <w:r w:rsidR="006D7CFB">
        <w:rPr>
          <w:sz w:val="20"/>
          <w:szCs w:val="20"/>
          <w:lang w:val="en-GB"/>
        </w:rPr>
        <w:t xml:space="preserve"> As a starting point, we suggest using PMI 0 and PMI 1</w:t>
      </w:r>
      <w:r w:rsidR="00E6107E">
        <w:rPr>
          <w:sz w:val="20"/>
          <w:szCs w:val="20"/>
          <w:lang w:val="en-GB"/>
        </w:rPr>
        <w:t>.</w:t>
      </w:r>
    </w:p>
    <w:p w14:paraId="353694C1" w14:textId="77777777" w:rsidR="00695BBD" w:rsidRDefault="00695BBD" w:rsidP="003B089C">
      <w:pPr>
        <w:rPr>
          <w:sz w:val="20"/>
          <w:szCs w:val="20"/>
          <w:lang w:val="en-GB"/>
        </w:rPr>
      </w:pPr>
    </w:p>
    <w:p w14:paraId="6DC0CB37" w14:textId="62610606" w:rsidR="00D70B15" w:rsidRDefault="00D70B15" w:rsidP="00D70B15">
      <w:pPr>
        <w:rPr>
          <w:rFonts w:eastAsia="SimSun"/>
          <w:sz w:val="20"/>
          <w:szCs w:val="20"/>
        </w:rPr>
      </w:pPr>
      <w:r w:rsidRPr="00C96C95">
        <w:rPr>
          <w:rFonts w:eastAsia="SimSun"/>
          <w:b/>
          <w:sz w:val="20"/>
          <w:szCs w:val="20"/>
        </w:rPr>
        <w:t xml:space="preserve">Observation </w:t>
      </w:r>
      <w:r>
        <w:rPr>
          <w:rFonts w:eastAsia="SimSun"/>
          <w:b/>
          <w:sz w:val="20"/>
          <w:szCs w:val="20"/>
        </w:rPr>
        <w:t>4</w:t>
      </w:r>
      <w:r w:rsidRPr="00C96C95">
        <w:rPr>
          <w:rFonts w:eastAsia="SimSun"/>
          <w:sz w:val="20"/>
          <w:szCs w:val="20"/>
        </w:rPr>
        <w:t xml:space="preserve">: </w:t>
      </w:r>
      <w:r>
        <w:rPr>
          <w:rFonts w:eastAsia="SimSun"/>
          <w:sz w:val="20"/>
          <w:szCs w:val="20"/>
        </w:rPr>
        <w:t>Enough power needs to reach each RX branch of the DUT to ensure it can correctly determine the required beam</w:t>
      </w:r>
      <w:r>
        <w:rPr>
          <w:rFonts w:eastAsia="SimSun"/>
          <w:sz w:val="20"/>
          <w:szCs w:val="20"/>
        </w:rPr>
        <w:t>.</w:t>
      </w:r>
    </w:p>
    <w:p w14:paraId="429874AC" w14:textId="77777777" w:rsidR="00D70B15" w:rsidRDefault="00D70B15" w:rsidP="003B089C">
      <w:pPr>
        <w:rPr>
          <w:sz w:val="20"/>
          <w:szCs w:val="20"/>
          <w:lang w:val="en-GB"/>
        </w:rPr>
      </w:pPr>
    </w:p>
    <w:p w14:paraId="31B8B8AB" w14:textId="5F457980" w:rsidR="006D7CFB" w:rsidRDefault="006D7CFB" w:rsidP="006D7CFB">
      <w:pPr>
        <w:rPr>
          <w:sz w:val="20"/>
          <w:szCs w:val="20"/>
          <w:lang w:val="en-GB"/>
        </w:rPr>
      </w:pPr>
      <w:r>
        <w:rPr>
          <w:b/>
          <w:sz w:val="20"/>
          <w:szCs w:val="20"/>
          <w:lang w:val="en-GB"/>
        </w:rPr>
        <w:t>Proposal</w:t>
      </w:r>
      <w:r w:rsidRPr="00695BBD">
        <w:rPr>
          <w:b/>
          <w:sz w:val="20"/>
          <w:szCs w:val="20"/>
          <w:lang w:val="en-GB"/>
        </w:rPr>
        <w:t xml:space="preserve"> </w:t>
      </w:r>
      <w:r w:rsidR="00E6107E">
        <w:rPr>
          <w:b/>
          <w:sz w:val="20"/>
          <w:szCs w:val="20"/>
          <w:lang w:val="en-GB"/>
        </w:rPr>
        <w:t>3</w:t>
      </w:r>
      <w:r w:rsidRPr="00695BBD">
        <w:rPr>
          <w:b/>
          <w:sz w:val="20"/>
          <w:szCs w:val="20"/>
          <w:lang w:val="en-GB"/>
        </w:rPr>
        <w:t>:</w:t>
      </w:r>
      <w:r>
        <w:rPr>
          <w:sz w:val="20"/>
          <w:szCs w:val="20"/>
          <w:lang w:val="en-GB"/>
        </w:rPr>
        <w:t xml:space="preserve"> </w:t>
      </w:r>
      <w:r>
        <w:rPr>
          <w:sz w:val="20"/>
          <w:szCs w:val="20"/>
          <w:lang w:val="en-GB"/>
        </w:rPr>
        <w:t xml:space="preserve">As starting point, consider </w:t>
      </w:r>
      <w:r w:rsidR="00E6107E">
        <w:rPr>
          <w:sz w:val="20"/>
          <w:szCs w:val="20"/>
          <w:lang w:val="en-GB"/>
        </w:rPr>
        <w:t>T</w:t>
      </w:r>
      <w:r>
        <w:rPr>
          <w:sz w:val="20"/>
          <w:szCs w:val="20"/>
          <w:lang w:val="en-GB"/>
        </w:rPr>
        <w:t xml:space="preserve">PMI 0 and </w:t>
      </w:r>
      <w:r w:rsidR="00E6107E">
        <w:rPr>
          <w:sz w:val="20"/>
          <w:szCs w:val="20"/>
          <w:lang w:val="en-GB"/>
        </w:rPr>
        <w:t>T</w:t>
      </w:r>
      <w:r>
        <w:rPr>
          <w:sz w:val="20"/>
          <w:szCs w:val="20"/>
          <w:lang w:val="en-GB"/>
        </w:rPr>
        <w:t xml:space="preserve">PMI 1 for </w:t>
      </w:r>
      <w:r w:rsidR="00E6107E">
        <w:rPr>
          <w:sz w:val="20"/>
          <w:szCs w:val="20"/>
          <w:lang w:val="en-GB"/>
        </w:rPr>
        <w:t xml:space="preserve">the EIRP </w:t>
      </w:r>
      <w:r>
        <w:rPr>
          <w:sz w:val="20"/>
          <w:szCs w:val="20"/>
          <w:lang w:val="en-GB"/>
        </w:rPr>
        <w:t>test procedure</w:t>
      </w:r>
      <w:r w:rsidR="00E6107E">
        <w:rPr>
          <w:sz w:val="20"/>
          <w:szCs w:val="20"/>
          <w:lang w:val="en-GB"/>
        </w:rPr>
        <w:t xml:space="preserve"> of UE2</w:t>
      </w:r>
      <w:r w:rsidR="00D70B15">
        <w:rPr>
          <w:sz w:val="20"/>
          <w:szCs w:val="20"/>
          <w:lang w:val="en-GB"/>
        </w:rPr>
        <w:t>.</w:t>
      </w:r>
    </w:p>
    <w:p w14:paraId="022DEB65" w14:textId="6CA0B7C7" w:rsidR="00D14C26" w:rsidRPr="00871EA3" w:rsidRDefault="0036017F" w:rsidP="00F93EB0">
      <w:pPr>
        <w:pStyle w:val="Heading1"/>
        <w:rPr>
          <w:lang w:val="en-US"/>
        </w:rPr>
      </w:pPr>
      <w:r>
        <w:rPr>
          <w:lang w:val="en-US"/>
        </w:rPr>
        <w:t>Conclusions</w:t>
      </w:r>
    </w:p>
    <w:p w14:paraId="38AD26A9" w14:textId="2D00701F" w:rsidR="003E4E35" w:rsidRPr="00D90522" w:rsidRDefault="00594B16" w:rsidP="00B9532A">
      <w:pPr>
        <w:rPr>
          <w:sz w:val="20"/>
          <w:szCs w:val="20"/>
        </w:rPr>
      </w:pPr>
      <w:r>
        <w:rPr>
          <w:sz w:val="20"/>
          <w:szCs w:val="20"/>
        </w:rPr>
        <w:t>In this paper we presented our views on potential solutions to the polarization mismatch impact issue, and discussed specifying PMI as part of test procedure. The following observations and proposals were made:</w:t>
      </w:r>
    </w:p>
    <w:p w14:paraId="3E31C800" w14:textId="5FF74B8A" w:rsidR="00A61863" w:rsidRDefault="00A61863" w:rsidP="00B9532A"/>
    <w:p w14:paraId="0FABAC6A" w14:textId="3F84BEAE" w:rsidR="00B3014B" w:rsidRDefault="00594B16" w:rsidP="002B2215">
      <w:pPr>
        <w:rPr>
          <w:rFonts w:eastAsia="SimSun"/>
          <w:sz w:val="20"/>
          <w:szCs w:val="20"/>
        </w:rPr>
      </w:pPr>
      <w:r w:rsidRPr="00C96C95">
        <w:rPr>
          <w:rFonts w:eastAsia="SimSun"/>
          <w:b/>
          <w:sz w:val="20"/>
          <w:szCs w:val="20"/>
        </w:rPr>
        <w:t>Observation 1</w:t>
      </w:r>
      <w:r w:rsidRPr="00C96C95">
        <w:rPr>
          <w:rFonts w:eastAsia="SimSun"/>
          <w:sz w:val="20"/>
          <w:szCs w:val="20"/>
        </w:rPr>
        <w:t xml:space="preserve">: </w:t>
      </w:r>
      <w:r>
        <w:rPr>
          <w:rFonts w:eastAsia="SimSun"/>
          <w:sz w:val="20"/>
          <w:szCs w:val="20"/>
        </w:rPr>
        <w:t>Given the current measurement procedure, a 1TX/2RX architecture may not be able to correctly determine the corresponding TX beam in a given polarization.</w:t>
      </w:r>
    </w:p>
    <w:p w14:paraId="6293F5AC" w14:textId="77777777" w:rsidR="00594B16" w:rsidRDefault="00594B16" w:rsidP="002B2215">
      <w:pPr>
        <w:rPr>
          <w:rFonts w:eastAsia="SimSun"/>
          <w:sz w:val="20"/>
          <w:szCs w:val="20"/>
        </w:rPr>
      </w:pPr>
    </w:p>
    <w:p w14:paraId="2A05693A" w14:textId="77777777" w:rsidR="00594B16" w:rsidRDefault="00594B16" w:rsidP="00594B16">
      <w:pPr>
        <w:rPr>
          <w:rFonts w:eastAsia="SimSun"/>
          <w:sz w:val="20"/>
          <w:szCs w:val="20"/>
        </w:rPr>
      </w:pPr>
      <w:r w:rsidRPr="00C96C95">
        <w:rPr>
          <w:rFonts w:eastAsia="SimSun"/>
          <w:b/>
          <w:sz w:val="20"/>
          <w:szCs w:val="20"/>
        </w:rPr>
        <w:t xml:space="preserve">Observation </w:t>
      </w:r>
      <w:r>
        <w:rPr>
          <w:rFonts w:eastAsia="SimSun"/>
          <w:b/>
          <w:sz w:val="20"/>
          <w:szCs w:val="20"/>
        </w:rPr>
        <w:t>2</w:t>
      </w:r>
      <w:r w:rsidRPr="00C96C95">
        <w:rPr>
          <w:rFonts w:eastAsia="SimSun"/>
          <w:sz w:val="20"/>
          <w:szCs w:val="20"/>
        </w:rPr>
        <w:t xml:space="preserve">: </w:t>
      </w:r>
      <w:r>
        <w:rPr>
          <w:rFonts w:eastAsia="SimSun"/>
          <w:sz w:val="20"/>
          <w:szCs w:val="20"/>
        </w:rPr>
        <w:t>TE vendors should advice on feasibility of enabling two polarizations simultaneously.</w:t>
      </w:r>
    </w:p>
    <w:p w14:paraId="6144A6DE" w14:textId="77777777" w:rsidR="00594B16" w:rsidRDefault="00594B16" w:rsidP="002B2215">
      <w:pPr>
        <w:rPr>
          <w:rFonts w:eastAsia="SimSun"/>
        </w:rPr>
      </w:pPr>
    </w:p>
    <w:p w14:paraId="2CA2A9C4" w14:textId="76B8C4C7" w:rsidR="00594B16" w:rsidRDefault="00594B16" w:rsidP="002B2215">
      <w:pPr>
        <w:rPr>
          <w:rFonts w:eastAsia="SimSun"/>
          <w:sz w:val="20"/>
          <w:szCs w:val="20"/>
        </w:rPr>
      </w:pPr>
      <w:r w:rsidRPr="00C96C95">
        <w:rPr>
          <w:rFonts w:eastAsia="SimSun"/>
          <w:b/>
          <w:sz w:val="20"/>
          <w:szCs w:val="20"/>
        </w:rPr>
        <w:t xml:space="preserve">Observation </w:t>
      </w:r>
      <w:r>
        <w:rPr>
          <w:rFonts w:eastAsia="SimSun"/>
          <w:b/>
          <w:sz w:val="20"/>
          <w:szCs w:val="20"/>
        </w:rPr>
        <w:t>3</w:t>
      </w:r>
      <w:r w:rsidRPr="00C96C95">
        <w:rPr>
          <w:rFonts w:eastAsia="SimSun"/>
          <w:sz w:val="20"/>
          <w:szCs w:val="20"/>
        </w:rPr>
        <w:t xml:space="preserve">: </w:t>
      </w:r>
      <w:r>
        <w:rPr>
          <w:rFonts w:eastAsia="SimSun"/>
          <w:sz w:val="20"/>
          <w:szCs w:val="20"/>
        </w:rPr>
        <w:t>To guarantee UEs are measured correctly, manufacturers should include a declaration on their UE architecture. This will ensure the conformance test follows the correct measurement procedure.</w:t>
      </w:r>
    </w:p>
    <w:p w14:paraId="2962029A" w14:textId="77777777" w:rsidR="00594B16" w:rsidRDefault="00594B16" w:rsidP="002B2215">
      <w:pPr>
        <w:rPr>
          <w:rFonts w:eastAsia="SimSun"/>
          <w:sz w:val="20"/>
          <w:szCs w:val="20"/>
        </w:rPr>
      </w:pPr>
    </w:p>
    <w:p w14:paraId="300A8E9C" w14:textId="250E7CD1" w:rsidR="00594B16" w:rsidRDefault="00594B16" w:rsidP="002B2215">
      <w:pPr>
        <w:rPr>
          <w:rFonts w:eastAsia="SimSun"/>
          <w:sz w:val="20"/>
          <w:szCs w:val="20"/>
        </w:rPr>
      </w:pPr>
      <w:r>
        <w:rPr>
          <w:rFonts w:eastAsia="SimSun"/>
          <w:b/>
          <w:sz w:val="20"/>
          <w:szCs w:val="20"/>
        </w:rPr>
        <w:t>Proposal</w:t>
      </w:r>
      <w:r w:rsidRPr="00C96C95">
        <w:rPr>
          <w:rFonts w:eastAsia="SimSun"/>
          <w:b/>
          <w:sz w:val="20"/>
          <w:szCs w:val="20"/>
        </w:rPr>
        <w:t xml:space="preserve"> 1</w:t>
      </w:r>
      <w:r w:rsidRPr="00C96C95">
        <w:rPr>
          <w:rFonts w:eastAsia="SimSun"/>
          <w:sz w:val="20"/>
          <w:szCs w:val="20"/>
        </w:rPr>
        <w:t xml:space="preserve">: </w:t>
      </w:r>
      <w:r>
        <w:rPr>
          <w:rFonts w:eastAsia="SimSun"/>
          <w:sz w:val="20"/>
          <w:szCs w:val="20"/>
        </w:rPr>
        <w:t>As potential solution, have two separate procedures based on UE architecture. Manufacturers will provide a declaration of their UE architecture to choose the correct procedure for conformance testing.</w:t>
      </w:r>
    </w:p>
    <w:p w14:paraId="37D71599" w14:textId="77777777" w:rsidR="00594B16" w:rsidRDefault="00594B16" w:rsidP="002B2215">
      <w:pPr>
        <w:rPr>
          <w:rFonts w:eastAsia="SimSun"/>
          <w:sz w:val="20"/>
          <w:szCs w:val="20"/>
        </w:rPr>
      </w:pPr>
    </w:p>
    <w:p w14:paraId="516466D9" w14:textId="063FFC5D" w:rsidR="00594B16" w:rsidRDefault="00594B16" w:rsidP="002B2215">
      <w:pPr>
        <w:rPr>
          <w:rFonts w:eastAsia="SimSun"/>
          <w:sz w:val="20"/>
          <w:szCs w:val="20"/>
        </w:rPr>
      </w:pPr>
      <w:r w:rsidRPr="00741C2E">
        <w:rPr>
          <w:rFonts w:eastAsia="SimSun"/>
          <w:b/>
          <w:sz w:val="20"/>
          <w:szCs w:val="20"/>
        </w:rPr>
        <w:t>Proposal 2</w:t>
      </w:r>
      <w:r w:rsidRPr="00741C2E">
        <w:rPr>
          <w:rFonts w:eastAsia="SimSun"/>
          <w:sz w:val="20"/>
          <w:szCs w:val="20"/>
        </w:rPr>
        <w:t xml:space="preserve">: If no other solution is found, we should </w:t>
      </w:r>
      <w:r w:rsidR="00C02858">
        <w:rPr>
          <w:rFonts w:eastAsia="SimSun"/>
          <w:sz w:val="20"/>
          <w:szCs w:val="20"/>
        </w:rPr>
        <w:t xml:space="preserve">consider </w:t>
      </w:r>
      <w:r w:rsidRPr="00741C2E">
        <w:rPr>
          <w:rFonts w:eastAsia="SimSun"/>
          <w:sz w:val="20"/>
          <w:szCs w:val="20"/>
        </w:rPr>
        <w:t>remov</w:t>
      </w:r>
      <w:r w:rsidR="00C02858">
        <w:rPr>
          <w:rFonts w:eastAsia="SimSun"/>
          <w:sz w:val="20"/>
          <w:szCs w:val="20"/>
        </w:rPr>
        <w:t>ing</w:t>
      </w:r>
      <w:r w:rsidRPr="00741C2E">
        <w:rPr>
          <w:rFonts w:eastAsia="SimSun"/>
          <w:sz w:val="20"/>
          <w:szCs w:val="20"/>
        </w:rPr>
        <w:t xml:space="preserve"> the polarization gain from the minimum peak EIRP and spherical coverage requirements.</w:t>
      </w:r>
    </w:p>
    <w:p w14:paraId="0417CFD6" w14:textId="77777777" w:rsidR="00594B16" w:rsidRDefault="00594B16" w:rsidP="002B2215">
      <w:pPr>
        <w:rPr>
          <w:rFonts w:eastAsia="SimSun"/>
          <w:sz w:val="20"/>
          <w:szCs w:val="20"/>
        </w:rPr>
      </w:pPr>
    </w:p>
    <w:p w14:paraId="094F51CC" w14:textId="77777777" w:rsidR="00594B16" w:rsidRDefault="00594B16" w:rsidP="00594B16">
      <w:pPr>
        <w:rPr>
          <w:rFonts w:eastAsia="SimSun"/>
          <w:sz w:val="20"/>
          <w:szCs w:val="20"/>
        </w:rPr>
      </w:pPr>
      <w:r w:rsidRPr="00C96C95">
        <w:rPr>
          <w:rFonts w:eastAsia="SimSun"/>
          <w:b/>
          <w:sz w:val="20"/>
          <w:szCs w:val="20"/>
        </w:rPr>
        <w:t xml:space="preserve">Observation </w:t>
      </w:r>
      <w:r>
        <w:rPr>
          <w:rFonts w:eastAsia="SimSun"/>
          <w:b/>
          <w:sz w:val="20"/>
          <w:szCs w:val="20"/>
        </w:rPr>
        <w:t>4</w:t>
      </w:r>
      <w:r w:rsidRPr="00C96C95">
        <w:rPr>
          <w:rFonts w:eastAsia="SimSun"/>
          <w:sz w:val="20"/>
          <w:szCs w:val="20"/>
        </w:rPr>
        <w:t xml:space="preserve">: </w:t>
      </w:r>
      <w:r>
        <w:rPr>
          <w:rFonts w:eastAsia="SimSun"/>
          <w:sz w:val="20"/>
          <w:szCs w:val="20"/>
        </w:rPr>
        <w:t>Enough power needs to reach each RX branch of the DUT to ensure it can correctly determine the required beam.</w:t>
      </w:r>
    </w:p>
    <w:p w14:paraId="4301A386" w14:textId="77777777" w:rsidR="00594B16" w:rsidRDefault="00594B16" w:rsidP="00594B16">
      <w:pPr>
        <w:rPr>
          <w:sz w:val="20"/>
          <w:szCs w:val="20"/>
          <w:lang w:val="en-GB"/>
        </w:rPr>
      </w:pPr>
    </w:p>
    <w:p w14:paraId="208D06AE" w14:textId="3D09FE37" w:rsidR="00594B16" w:rsidRPr="00E6107E" w:rsidRDefault="00E6107E" w:rsidP="00594B16">
      <w:pPr>
        <w:rPr>
          <w:sz w:val="20"/>
          <w:szCs w:val="20"/>
          <w:lang w:val="en-GB"/>
        </w:rPr>
      </w:pPr>
      <w:r>
        <w:rPr>
          <w:b/>
          <w:sz w:val="20"/>
          <w:szCs w:val="20"/>
          <w:lang w:val="en-GB"/>
        </w:rPr>
        <w:t>Proposal</w:t>
      </w:r>
      <w:r w:rsidRPr="00695BBD">
        <w:rPr>
          <w:b/>
          <w:sz w:val="20"/>
          <w:szCs w:val="20"/>
          <w:lang w:val="en-GB"/>
        </w:rPr>
        <w:t xml:space="preserve"> </w:t>
      </w:r>
      <w:r>
        <w:rPr>
          <w:b/>
          <w:sz w:val="20"/>
          <w:szCs w:val="20"/>
          <w:lang w:val="en-GB"/>
        </w:rPr>
        <w:t>3</w:t>
      </w:r>
      <w:r w:rsidRPr="00695BBD">
        <w:rPr>
          <w:b/>
          <w:sz w:val="20"/>
          <w:szCs w:val="20"/>
          <w:lang w:val="en-GB"/>
        </w:rPr>
        <w:t>:</w:t>
      </w:r>
      <w:r>
        <w:rPr>
          <w:sz w:val="20"/>
          <w:szCs w:val="20"/>
          <w:lang w:val="en-GB"/>
        </w:rPr>
        <w:t xml:space="preserve"> As starting point, consider TPMI 0 and TPMI 1 for the EIRP test procedure of UE2.</w:t>
      </w:r>
    </w:p>
    <w:p w14:paraId="47BA569A" w14:textId="77777777" w:rsidR="0017048A" w:rsidRPr="00871EA3" w:rsidRDefault="0017048A" w:rsidP="00342BBF">
      <w:pPr>
        <w:pStyle w:val="Heading1"/>
        <w:rPr>
          <w:lang w:val="en-US"/>
        </w:rPr>
      </w:pPr>
      <w:r w:rsidRPr="00871EA3">
        <w:rPr>
          <w:lang w:val="en-US"/>
        </w:rPr>
        <w:t>References</w:t>
      </w:r>
    </w:p>
    <w:p w14:paraId="1ADD45CC" w14:textId="18320A4A" w:rsidR="0036017F" w:rsidRPr="00D90522" w:rsidRDefault="00636092" w:rsidP="00A60163">
      <w:pPr>
        <w:widowControl w:val="0"/>
        <w:numPr>
          <w:ilvl w:val="0"/>
          <w:numId w:val="5"/>
        </w:numPr>
        <w:rPr>
          <w:sz w:val="20"/>
          <w:szCs w:val="20"/>
        </w:rPr>
      </w:pPr>
      <w:bookmarkStart w:id="1" w:name="_Ref536455012"/>
      <w:r w:rsidRPr="00D90522">
        <w:rPr>
          <w:sz w:val="20"/>
          <w:szCs w:val="20"/>
        </w:rPr>
        <w:t>TR</w:t>
      </w:r>
      <w:r w:rsidR="00143BB2">
        <w:rPr>
          <w:sz w:val="20"/>
          <w:szCs w:val="20"/>
        </w:rPr>
        <w:t xml:space="preserve"> </w:t>
      </w:r>
      <w:r w:rsidRPr="00D90522">
        <w:rPr>
          <w:sz w:val="20"/>
          <w:szCs w:val="20"/>
        </w:rPr>
        <w:t>38.810</w:t>
      </w:r>
      <w:r w:rsidR="00D90522" w:rsidRPr="00D90522">
        <w:rPr>
          <w:sz w:val="20"/>
          <w:szCs w:val="20"/>
        </w:rPr>
        <w:t>,</w:t>
      </w:r>
      <w:r w:rsidRPr="00D90522">
        <w:rPr>
          <w:sz w:val="20"/>
          <w:szCs w:val="20"/>
        </w:rPr>
        <w:t xml:space="preserve"> v</w:t>
      </w:r>
      <w:r w:rsidR="00D90522" w:rsidRPr="00D90522">
        <w:rPr>
          <w:sz w:val="20"/>
          <w:szCs w:val="20"/>
        </w:rPr>
        <w:t xml:space="preserve">ersion </w:t>
      </w:r>
      <w:r w:rsidRPr="00D90522">
        <w:rPr>
          <w:sz w:val="20"/>
          <w:szCs w:val="20"/>
        </w:rPr>
        <w:t>16.1.0</w:t>
      </w:r>
      <w:bookmarkEnd w:id="1"/>
    </w:p>
    <w:p w14:paraId="580C9997" w14:textId="03F81630" w:rsidR="00636092" w:rsidRPr="00D90522" w:rsidRDefault="00C96C95" w:rsidP="00A60163">
      <w:pPr>
        <w:widowControl w:val="0"/>
        <w:numPr>
          <w:ilvl w:val="0"/>
          <w:numId w:val="5"/>
        </w:numPr>
        <w:rPr>
          <w:sz w:val="20"/>
          <w:szCs w:val="20"/>
        </w:rPr>
      </w:pPr>
      <w:r w:rsidRPr="00D90522">
        <w:rPr>
          <w:sz w:val="20"/>
          <w:szCs w:val="20"/>
        </w:rPr>
        <w:t>R4-190xxxx, “</w:t>
      </w:r>
      <w:r w:rsidR="00636092" w:rsidRPr="00D90522">
        <w:rPr>
          <w:sz w:val="20"/>
          <w:szCs w:val="20"/>
        </w:rPr>
        <w:t>RAN4 #89 meeting report</w:t>
      </w:r>
      <w:r w:rsidRPr="00D90522">
        <w:rPr>
          <w:sz w:val="20"/>
          <w:szCs w:val="20"/>
        </w:rPr>
        <w:t>,” February 2019</w:t>
      </w:r>
    </w:p>
    <w:p w14:paraId="7D092A4C" w14:textId="77777777" w:rsidR="00902893" w:rsidRPr="00D90522" w:rsidRDefault="00902893" w:rsidP="00902893">
      <w:pPr>
        <w:widowControl w:val="0"/>
        <w:numPr>
          <w:ilvl w:val="0"/>
          <w:numId w:val="5"/>
        </w:numPr>
        <w:rPr>
          <w:sz w:val="20"/>
          <w:szCs w:val="20"/>
        </w:rPr>
      </w:pPr>
      <w:bookmarkStart w:id="2" w:name="_Ref536606240"/>
      <w:r w:rsidRPr="00D90522">
        <w:rPr>
          <w:sz w:val="20"/>
          <w:szCs w:val="20"/>
        </w:rPr>
        <w:t xml:space="preserve">R4-1714445, “WF on pi/2 BPSK spectrum shaping and power class in FR2,” </w:t>
      </w:r>
      <w:r>
        <w:rPr>
          <w:sz w:val="20"/>
          <w:szCs w:val="20"/>
        </w:rPr>
        <w:t>Intel</w:t>
      </w:r>
      <w:r w:rsidRPr="00D90522">
        <w:rPr>
          <w:sz w:val="20"/>
          <w:szCs w:val="20"/>
        </w:rPr>
        <w:t>, Apple, Qualcomm, IITH, LGE, Nokia , Huawei, Motorola Mobility, 3GPP RAN4 #85, November 2017</w:t>
      </w:r>
    </w:p>
    <w:p w14:paraId="774865BF" w14:textId="72F1F5CF" w:rsidR="00546E72" w:rsidRPr="00902893" w:rsidRDefault="00143BB2" w:rsidP="00636092">
      <w:pPr>
        <w:widowControl w:val="0"/>
        <w:numPr>
          <w:ilvl w:val="0"/>
          <w:numId w:val="5"/>
        </w:numPr>
        <w:rPr>
          <w:sz w:val="20"/>
          <w:szCs w:val="20"/>
        </w:rPr>
      </w:pPr>
      <w:r>
        <w:rPr>
          <w:sz w:val="20"/>
          <w:szCs w:val="20"/>
        </w:rPr>
        <w:t>TS 38.101-2, version 15.4.0</w:t>
      </w:r>
      <w:bookmarkEnd w:id="2"/>
    </w:p>
    <w:sectPr w:rsidR="00546E72" w:rsidRPr="0090289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17166" w14:textId="77777777" w:rsidR="00DB1CA3" w:rsidRDefault="00DB1CA3">
      <w:r>
        <w:separator/>
      </w:r>
    </w:p>
  </w:endnote>
  <w:endnote w:type="continuationSeparator" w:id="0">
    <w:p w14:paraId="0F53C5F6" w14:textId="77777777" w:rsidR="00DB1CA3" w:rsidRDefault="00DB1CA3">
      <w:r>
        <w:continuationSeparator/>
      </w:r>
    </w:p>
  </w:endnote>
  <w:endnote w:type="continuationNotice" w:id="1">
    <w:p w14:paraId="327D7BE3" w14:textId="77777777" w:rsidR="00DB1CA3" w:rsidRDefault="00DB1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ew York">
    <w:altName w:val="Times New Roman"/>
    <w:panose1 w:val="02040503060506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1"/>
    <w:family w:val="roman"/>
    <w:notTrueType/>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70657" w14:textId="77777777" w:rsidR="00EB19CC" w:rsidRDefault="00EB19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B19CC" w:rsidRDefault="00EB19C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D6269" w14:textId="77777777" w:rsidR="00EB19CC" w:rsidRPr="00DB1239" w:rsidRDefault="00EB19C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FB245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2454">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1445A" w14:textId="77777777" w:rsidR="00DB1CA3" w:rsidRDefault="00DB1CA3">
      <w:r>
        <w:separator/>
      </w:r>
    </w:p>
  </w:footnote>
  <w:footnote w:type="continuationSeparator" w:id="0">
    <w:p w14:paraId="6743461A" w14:textId="77777777" w:rsidR="00DB1CA3" w:rsidRDefault="00DB1CA3">
      <w:r>
        <w:continuationSeparator/>
      </w:r>
    </w:p>
  </w:footnote>
  <w:footnote w:type="continuationNotice" w:id="1">
    <w:p w14:paraId="668B29BB" w14:textId="77777777" w:rsidR="00DB1CA3" w:rsidRDefault="00DB1C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E5896" w14:textId="77777777" w:rsidR="00EB19CC" w:rsidRDefault="00EB19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80373"/>
    <w:multiLevelType w:val="hybridMultilevel"/>
    <w:tmpl w:val="15B0428A"/>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9"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3E11D2"/>
    <w:multiLevelType w:val="hybridMultilevel"/>
    <w:tmpl w:val="FF9EF454"/>
    <w:lvl w:ilvl="0" w:tplc="04090005">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E5BB6"/>
    <w:multiLevelType w:val="hybridMultilevel"/>
    <w:tmpl w:val="3F3E91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9695C78"/>
    <w:multiLevelType w:val="hybridMultilevel"/>
    <w:tmpl w:val="43D6F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2"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4"/>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5"/>
  </w:num>
  <w:num w:numId="8">
    <w:abstractNumId w:val="18"/>
  </w:num>
  <w:num w:numId="9">
    <w:abstractNumId w:val="20"/>
  </w:num>
  <w:num w:numId="10">
    <w:abstractNumId w:val="32"/>
  </w:num>
  <w:num w:numId="11">
    <w:abstractNumId w:val="7"/>
  </w:num>
  <w:num w:numId="12">
    <w:abstractNumId w:val="2"/>
  </w:num>
  <w:num w:numId="13">
    <w:abstractNumId w:val="21"/>
  </w:num>
  <w:num w:numId="14">
    <w:abstractNumId w:val="28"/>
  </w:num>
  <w:num w:numId="15">
    <w:abstractNumId w:val="27"/>
  </w:num>
  <w:num w:numId="16">
    <w:abstractNumId w:val="10"/>
  </w:num>
  <w:num w:numId="17">
    <w:abstractNumId w:val="19"/>
  </w:num>
  <w:num w:numId="18">
    <w:abstractNumId w:val="22"/>
  </w:num>
  <w:num w:numId="19">
    <w:abstractNumId w:val="15"/>
  </w:num>
  <w:num w:numId="20">
    <w:abstractNumId w:val="17"/>
  </w:num>
  <w:num w:numId="21">
    <w:abstractNumId w:val="26"/>
  </w:num>
  <w:num w:numId="22">
    <w:abstractNumId w:val="0"/>
  </w:num>
  <w:num w:numId="23">
    <w:abstractNumId w:val="9"/>
  </w:num>
  <w:num w:numId="24">
    <w:abstractNumId w:val="16"/>
  </w:num>
  <w:num w:numId="25">
    <w:abstractNumId w:val="3"/>
  </w:num>
  <w:num w:numId="26">
    <w:abstractNumId w:val="29"/>
  </w:num>
  <w:num w:numId="27">
    <w:abstractNumId w:val="30"/>
  </w:num>
  <w:num w:numId="28">
    <w:abstractNumId w:val="4"/>
  </w:num>
  <w:num w:numId="29">
    <w:abstractNumId w:val="5"/>
  </w:num>
  <w:num w:numId="30">
    <w:abstractNumId w:val="13"/>
  </w:num>
  <w:num w:numId="31">
    <w:abstractNumId w:val="24"/>
  </w:num>
  <w:num w:numId="32">
    <w:abstractNumId w:val="13"/>
  </w:num>
  <w:num w:numId="33">
    <w:abstractNumId w:val="6"/>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7C"/>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C01"/>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E1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C7"/>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B2"/>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1C4"/>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22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7AE"/>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34C"/>
    <w:rsid w:val="0033588B"/>
    <w:rsid w:val="0033592C"/>
    <w:rsid w:val="00335E2A"/>
    <w:rsid w:val="00336225"/>
    <w:rsid w:val="003362A6"/>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89C"/>
    <w:rsid w:val="003B0901"/>
    <w:rsid w:val="003B0B4D"/>
    <w:rsid w:val="003B0F9B"/>
    <w:rsid w:val="003B1016"/>
    <w:rsid w:val="003B1046"/>
    <w:rsid w:val="003B1087"/>
    <w:rsid w:val="003B1422"/>
    <w:rsid w:val="003B14B8"/>
    <w:rsid w:val="003B1575"/>
    <w:rsid w:val="003B188F"/>
    <w:rsid w:val="003B1CC2"/>
    <w:rsid w:val="003B1D9B"/>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095"/>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5"/>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0B7"/>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4B16"/>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67"/>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0ED"/>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BBD"/>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FB"/>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1C2E"/>
    <w:rsid w:val="007420C9"/>
    <w:rsid w:val="00742235"/>
    <w:rsid w:val="00742695"/>
    <w:rsid w:val="007426B7"/>
    <w:rsid w:val="00742A51"/>
    <w:rsid w:val="00742BFB"/>
    <w:rsid w:val="00742EC0"/>
    <w:rsid w:val="007430F0"/>
    <w:rsid w:val="00743757"/>
    <w:rsid w:val="00743867"/>
    <w:rsid w:val="007439B0"/>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4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DAB"/>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93A"/>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0B5"/>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0C3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D91"/>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2FB7"/>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893"/>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0B3"/>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72"/>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9F7937"/>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80"/>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F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507"/>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858"/>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A11"/>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C95"/>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0C"/>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B15"/>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052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CA3"/>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13"/>
    <w:rsid w:val="00E60F80"/>
    <w:rsid w:val="00E6107E"/>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9C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AAA"/>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96B"/>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2E1"/>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454"/>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0B5"/>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684068">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996118">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2872048">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8C5C809-FB8E-40C8-B82F-78E9897637E5}">
  <ds:schemaRefs>
    <ds:schemaRef ds:uri="http://schemas.openxmlformats.org/officeDocument/2006/bibliography"/>
  </ds:schemaRefs>
</ds:datastoreItem>
</file>

<file path=customXml/itemProps4.xml><?xml version="1.0" encoding="utf-8"?>
<ds:datastoreItem xmlns:ds="http://schemas.openxmlformats.org/officeDocument/2006/customXml" ds:itemID="{1628881B-9689-4B91-81CC-178A67E40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970</Words>
  <Characters>5320</Characters>
  <Application>Microsoft Office Word</Application>
  <DocSecurity>0</DocSecurity>
  <Lines>98</Lines>
  <Paragraphs>39</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6255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11</cp:revision>
  <cp:lastPrinted>2017-11-08T23:02:00Z</cp:lastPrinted>
  <dcterms:created xsi:type="dcterms:W3CDTF">2019-02-15T21:04:00Z</dcterms:created>
  <dcterms:modified xsi:type="dcterms:W3CDTF">2019-02-15T22:27:00Z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348d6dd2-15ae-45ab-94d8-3d0ce710b8b8</vt:lpwstr>
  </property>
  <property fmtid="{D5CDD505-2E9C-101B-9397-08002B2CF9AE}" pid="3" name="CTP_TimeStamp">
    <vt:lpwstr>2019-02-15 22:27:19Z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